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0F3D" w14:textId="78D0FA06" w:rsidR="00697CAB" w:rsidRPr="00B61C0E" w:rsidRDefault="00697CAB" w:rsidP="00697CAB">
      <w:pPr>
        <w:pStyle w:val="Heading210"/>
        <w:pageBreakBefore/>
        <w:pBdr>
          <w:top w:val="single" w:sz="4" w:space="1" w:color="auto"/>
          <w:left w:val="single" w:sz="4" w:space="4" w:color="auto"/>
          <w:bottom w:val="single" w:sz="4" w:space="1" w:color="auto"/>
          <w:right w:val="single" w:sz="4" w:space="4" w:color="auto"/>
        </w:pBdr>
        <w:shd w:val="clear" w:color="auto" w:fill="C1E4F5" w:themeFill="accent1" w:themeFillTint="33"/>
        <w:spacing w:before="120" w:after="0" w:line="240" w:lineRule="auto"/>
        <w:rPr>
          <w:rFonts w:ascii="EC Square Sans Pro" w:hAnsi="EC Square Sans Pro"/>
          <w:lang w:val="en-IE"/>
        </w:rPr>
      </w:pPr>
      <w:r w:rsidRPr="00B61C0E">
        <w:rPr>
          <w:rFonts w:ascii="EC Square Sans Pro" w:hAnsi="EC Square Sans Pro"/>
          <w:lang w:val="en-IE"/>
        </w:rPr>
        <w:t>Annex: Checklist</w:t>
      </w:r>
      <w:r w:rsidR="007072B8" w:rsidRPr="00B61C0E">
        <w:rPr>
          <w:rFonts w:ascii="EC Square Sans Pro" w:hAnsi="EC Square Sans Pro"/>
          <w:lang w:val="en-IE"/>
        </w:rPr>
        <w:t xml:space="preserve"> </w:t>
      </w:r>
      <w:r w:rsidR="006F2A0E" w:rsidRPr="00B61C0E">
        <w:rPr>
          <w:rFonts w:ascii="EC Square Sans Pro" w:hAnsi="EC Square Sans Pro"/>
          <w:lang w:val="en-IE"/>
        </w:rPr>
        <w:t>-</w:t>
      </w:r>
      <w:r w:rsidRPr="00B61C0E">
        <w:rPr>
          <w:rFonts w:ascii="EC Square Sans Pro" w:hAnsi="EC Square Sans Pro"/>
          <w:lang w:val="en-IE"/>
        </w:rPr>
        <w:t xml:space="preserve"> relevant topics for your contribution</w:t>
      </w:r>
      <w:bookmarkStart w:id="0" w:name="bookmark10"/>
    </w:p>
    <w:p w14:paraId="6E4A8C58" w14:textId="77777777" w:rsidR="00697CAB" w:rsidRPr="00B61C0E" w:rsidRDefault="00697CAB" w:rsidP="00697CAB">
      <w:pPr>
        <w:pStyle w:val="Heading210"/>
        <w:keepNext/>
        <w:keepLines/>
        <w:shd w:val="clear" w:color="auto" w:fill="auto"/>
        <w:spacing w:before="120" w:after="0" w:line="240" w:lineRule="auto"/>
        <w:jc w:val="both"/>
        <w:outlineLvl w:val="0"/>
        <w:rPr>
          <w:rFonts w:ascii="EC Square Sans Pro" w:hAnsi="EC Square Sans Pro"/>
          <w:b w:val="0"/>
          <w:bCs w:val="0"/>
          <w:i/>
          <w:iCs/>
          <w:sz w:val="2"/>
          <w:szCs w:val="2"/>
          <w:lang w:val="en-IE"/>
        </w:rPr>
      </w:pPr>
    </w:p>
    <w:p w14:paraId="3CF70F78" w14:textId="77777777" w:rsidR="00697CAB" w:rsidRPr="00B61C0E" w:rsidRDefault="00697CAB" w:rsidP="00697CAB">
      <w:pPr>
        <w:pStyle w:val="Heading210"/>
        <w:numPr>
          <w:ilvl w:val="0"/>
          <w:numId w:val="1"/>
        </w:numPr>
        <w:pBdr>
          <w:top w:val="single" w:sz="4" w:space="1" w:color="auto"/>
          <w:left w:val="single" w:sz="4" w:space="4" w:color="auto"/>
          <w:bottom w:val="single" w:sz="4" w:space="1" w:color="auto"/>
          <w:right w:val="single" w:sz="4" w:space="4" w:color="auto"/>
        </w:pBdr>
        <w:shd w:val="clear" w:color="auto" w:fill="D9F2D0" w:themeFill="accent6" w:themeFillTint="33"/>
        <w:tabs>
          <w:tab w:val="left" w:pos="348"/>
        </w:tabs>
        <w:spacing w:before="120" w:after="0" w:line="240" w:lineRule="auto"/>
        <w:jc w:val="both"/>
        <w:rPr>
          <w:rFonts w:ascii="EC Square Sans Pro" w:hAnsi="EC Square Sans Pro"/>
          <w:lang w:val="en-IE"/>
        </w:rPr>
      </w:pPr>
      <w:r w:rsidRPr="00B61C0E">
        <w:rPr>
          <w:rFonts w:ascii="EC Square Sans Pro" w:hAnsi="EC Square Sans Pro"/>
          <w:lang w:val="en-IE"/>
        </w:rPr>
        <w:t xml:space="preserve">Justice System </w:t>
      </w:r>
    </w:p>
    <w:p w14:paraId="6D19400A" w14:textId="77777777" w:rsidR="00697CAB" w:rsidRPr="00B61C0E" w:rsidRDefault="00697CAB" w:rsidP="00697CAB">
      <w:pPr>
        <w:pStyle w:val="Heading210"/>
        <w:keepNext/>
        <w:keepLines/>
        <w:numPr>
          <w:ilvl w:val="0"/>
          <w:numId w:val="7"/>
        </w:numPr>
        <w:shd w:val="clear" w:color="auto" w:fill="auto"/>
        <w:tabs>
          <w:tab w:val="left" w:pos="348"/>
        </w:tabs>
        <w:spacing w:before="120" w:after="0" w:line="240" w:lineRule="auto"/>
        <w:jc w:val="both"/>
        <w:outlineLvl w:val="0"/>
        <w:rPr>
          <w:rFonts w:ascii="EC Square Sans Pro" w:hAnsi="EC Square Sans Pro"/>
          <w:b w:val="0"/>
          <w:bCs w:val="0"/>
          <w:i/>
          <w:iCs/>
          <w:lang w:val="en-IE"/>
        </w:rPr>
      </w:pPr>
      <w:r w:rsidRPr="00B61C0E">
        <w:rPr>
          <w:rFonts w:ascii="EC Square Sans Pro" w:hAnsi="EC Square Sans Pro"/>
          <w:i/>
          <w:iCs/>
        </w:rPr>
        <w:t>Independence</w:t>
      </w:r>
      <w:bookmarkEnd w:id="0"/>
    </w:p>
    <w:p w14:paraId="7CBAAA7A" w14:textId="77777777" w:rsidR="00697CAB" w:rsidRPr="00B61C0E" w:rsidRDefault="00697CAB" w:rsidP="00697CAB">
      <w:pPr>
        <w:pStyle w:val="Heading110"/>
        <w:keepNext/>
        <w:keepLines/>
        <w:spacing w:before="120" w:after="120"/>
        <w:rPr>
          <w:rFonts w:ascii="EC Square Sans Pro" w:hAnsi="EC Square Sans Pro"/>
          <w:b w:val="0"/>
          <w:bCs w:val="0"/>
          <w:u w:val="single"/>
        </w:rPr>
      </w:pPr>
      <w:r w:rsidRPr="00B61C0E">
        <w:rPr>
          <w:rFonts w:ascii="EC Square Sans Pro" w:hAnsi="EC Square Sans Pro"/>
          <w:b w:val="0"/>
          <w:bCs w:val="0"/>
          <w:u w:val="single"/>
        </w:rPr>
        <w:t xml:space="preserve">Relevant topics to be covered in your contribution include: </w:t>
      </w:r>
    </w:p>
    <w:p w14:paraId="202B0B6D" w14:textId="77777777" w:rsidR="00697CAB" w:rsidRPr="00B61C0E" w:rsidRDefault="00697CAB" w:rsidP="00697CAB">
      <w:pPr>
        <w:pStyle w:val="Bodytext30"/>
        <w:numPr>
          <w:ilvl w:val="0"/>
          <w:numId w:val="5"/>
        </w:numPr>
        <w:shd w:val="clear" w:color="auto" w:fill="auto"/>
        <w:tabs>
          <w:tab w:val="left" w:pos="1100"/>
        </w:tabs>
        <w:spacing w:before="120" w:after="0" w:line="240" w:lineRule="auto"/>
        <w:jc w:val="both"/>
        <w:rPr>
          <w:rFonts w:ascii="EC Square Sans Pro" w:hAnsi="EC Square Sans Pro"/>
        </w:rPr>
      </w:pPr>
      <w:r w:rsidRPr="00B61C0E">
        <w:rPr>
          <w:rFonts w:ascii="EC Square Sans Pro" w:hAnsi="EC Square Sans Pro"/>
        </w:rPr>
        <w:t>Appointment and selection of judges</w:t>
      </w:r>
      <w:r w:rsidRPr="00B61C0E">
        <w:rPr>
          <w:rStyle w:val="Allmrkuseviide"/>
          <w:rFonts w:ascii="EC Square Sans Pro" w:hAnsi="EC Square Sans Pro"/>
        </w:rPr>
        <w:footnoteReference w:id="2"/>
      </w:r>
      <w:r w:rsidRPr="00B61C0E">
        <w:rPr>
          <w:rFonts w:ascii="EC Square Sans Pro" w:hAnsi="EC Square Sans Pro"/>
        </w:rPr>
        <w:t>, prosecutors and court presidents (incl. judicial review)</w:t>
      </w:r>
    </w:p>
    <w:p w14:paraId="2E6206E0" w14:textId="77777777" w:rsidR="00697CAB" w:rsidRPr="00B61C0E" w:rsidRDefault="00697CAB" w:rsidP="00697CAB">
      <w:pPr>
        <w:pStyle w:val="Bodytext30"/>
        <w:numPr>
          <w:ilvl w:val="0"/>
          <w:numId w:val="5"/>
        </w:numPr>
        <w:shd w:val="clear" w:color="auto" w:fill="auto"/>
        <w:tabs>
          <w:tab w:val="left" w:pos="1100"/>
        </w:tabs>
        <w:spacing w:before="120" w:after="0" w:line="240" w:lineRule="auto"/>
        <w:jc w:val="both"/>
        <w:rPr>
          <w:rFonts w:ascii="EC Square Sans Pro" w:hAnsi="EC Square Sans Pro"/>
        </w:rPr>
      </w:pPr>
      <w:proofErr w:type="spellStart"/>
      <w:r w:rsidRPr="00B61C0E">
        <w:rPr>
          <w:rFonts w:ascii="EC Square Sans Pro" w:hAnsi="EC Square Sans Pro"/>
        </w:rPr>
        <w:t>Irremovability</w:t>
      </w:r>
      <w:proofErr w:type="spellEnd"/>
      <w:r w:rsidRPr="00B61C0E">
        <w:rPr>
          <w:rFonts w:ascii="EC Square Sans Pro" w:hAnsi="EC Square Sans Pro"/>
        </w:rPr>
        <w:t xml:space="preserve"> of judges; including transfers (incl. as part of judicial map reform), dismissal and retirement regime of judges, court presidents and prosecutors (incl. judicial review) </w:t>
      </w:r>
    </w:p>
    <w:p w14:paraId="01AE94A6" w14:textId="77777777" w:rsidR="00697CAB" w:rsidRPr="00B61C0E" w:rsidRDefault="00697CAB" w:rsidP="00697CAB">
      <w:pPr>
        <w:pStyle w:val="Bodytext30"/>
        <w:numPr>
          <w:ilvl w:val="0"/>
          <w:numId w:val="5"/>
        </w:numPr>
        <w:shd w:val="clear" w:color="auto" w:fill="auto"/>
        <w:tabs>
          <w:tab w:val="left" w:pos="1100"/>
        </w:tabs>
        <w:spacing w:before="120" w:after="0" w:line="240" w:lineRule="auto"/>
        <w:jc w:val="both"/>
        <w:rPr>
          <w:rFonts w:ascii="EC Square Sans Pro" w:hAnsi="EC Square Sans Pro"/>
        </w:rPr>
      </w:pPr>
      <w:r w:rsidRPr="00B61C0E">
        <w:rPr>
          <w:rFonts w:ascii="EC Square Sans Pro" w:hAnsi="EC Square Sans Pro"/>
        </w:rPr>
        <w:t>Promotion of judges and prosecutors (incl. judicial review)</w:t>
      </w:r>
    </w:p>
    <w:p w14:paraId="21894C8B" w14:textId="77777777" w:rsidR="00697CAB" w:rsidRPr="00B61C0E" w:rsidRDefault="00697CAB" w:rsidP="00697CAB">
      <w:pPr>
        <w:pStyle w:val="Bodytext30"/>
        <w:numPr>
          <w:ilvl w:val="0"/>
          <w:numId w:val="5"/>
        </w:numPr>
        <w:shd w:val="clear" w:color="auto" w:fill="auto"/>
        <w:tabs>
          <w:tab w:val="left" w:pos="1100"/>
        </w:tabs>
        <w:spacing w:before="120" w:after="0" w:line="240" w:lineRule="auto"/>
        <w:jc w:val="both"/>
        <w:rPr>
          <w:rFonts w:ascii="EC Square Sans Pro" w:hAnsi="EC Square Sans Pro"/>
        </w:rPr>
      </w:pPr>
      <w:r w:rsidRPr="00B61C0E">
        <w:rPr>
          <w:rFonts w:ascii="EC Square Sans Pro" w:hAnsi="EC Square Sans Pro"/>
        </w:rPr>
        <w:t xml:space="preserve">Allocation of cases in courts </w:t>
      </w:r>
    </w:p>
    <w:p w14:paraId="2B4A38BB" w14:textId="77777777" w:rsidR="00697CAB" w:rsidRPr="00B61C0E" w:rsidRDefault="00697CAB" w:rsidP="00697CAB">
      <w:pPr>
        <w:pStyle w:val="Bodytext30"/>
        <w:numPr>
          <w:ilvl w:val="0"/>
          <w:numId w:val="5"/>
        </w:numPr>
        <w:shd w:val="clear" w:color="auto" w:fill="auto"/>
        <w:tabs>
          <w:tab w:val="left" w:pos="1100"/>
        </w:tabs>
        <w:spacing w:before="120" w:after="0" w:line="240" w:lineRule="auto"/>
        <w:jc w:val="both"/>
        <w:rPr>
          <w:rFonts w:ascii="EC Square Sans Pro" w:hAnsi="EC Square Sans Pro"/>
        </w:rPr>
      </w:pPr>
      <w:r w:rsidRPr="00B61C0E">
        <w:rPr>
          <w:rFonts w:ascii="EC Square Sans Pro" w:hAnsi="EC Square Sans Pro"/>
        </w:rPr>
        <w:t xml:space="preserve">Independence (including composition and nomination and dismissal of its members), and powers of the body tasked with safeguarding the independence of the judiciary (e.g. Council for the Judiciary) </w:t>
      </w:r>
    </w:p>
    <w:p w14:paraId="596F2C4F" w14:textId="77777777" w:rsidR="00697CAB" w:rsidRPr="00B61C0E" w:rsidRDefault="00697CAB" w:rsidP="00697CAB">
      <w:pPr>
        <w:pStyle w:val="Bodytext30"/>
        <w:numPr>
          <w:ilvl w:val="0"/>
          <w:numId w:val="5"/>
        </w:numPr>
        <w:shd w:val="clear" w:color="auto" w:fill="auto"/>
        <w:tabs>
          <w:tab w:val="left" w:pos="1100"/>
        </w:tabs>
        <w:spacing w:before="120" w:after="0" w:line="240" w:lineRule="auto"/>
        <w:jc w:val="both"/>
        <w:rPr>
          <w:rFonts w:ascii="EC Square Sans Pro" w:hAnsi="EC Square Sans Pro"/>
        </w:rPr>
      </w:pPr>
      <w:r w:rsidRPr="00B61C0E">
        <w:rPr>
          <w:rFonts w:ascii="EC Square Sans Pro" w:hAnsi="EC Square Sans Pro"/>
        </w:rPr>
        <w:t xml:space="preserve">Accountability of judges and prosecutors, including disciplinary regime and bodies and ethical rules, judicial immunity and criminal/civil (where applicable) liability of judges (incl. judicial review) </w:t>
      </w:r>
    </w:p>
    <w:p w14:paraId="1903AC64" w14:textId="77777777" w:rsidR="00697CAB" w:rsidRPr="00B61C0E" w:rsidRDefault="00697CAB" w:rsidP="00697CAB">
      <w:pPr>
        <w:pStyle w:val="Bodytext30"/>
        <w:numPr>
          <w:ilvl w:val="0"/>
          <w:numId w:val="5"/>
        </w:numPr>
        <w:shd w:val="clear" w:color="auto" w:fill="auto"/>
        <w:tabs>
          <w:tab w:val="left" w:pos="1100"/>
        </w:tabs>
        <w:spacing w:before="120" w:after="0" w:line="240" w:lineRule="auto"/>
        <w:jc w:val="both"/>
        <w:rPr>
          <w:rFonts w:ascii="EC Square Sans Pro" w:hAnsi="EC Square Sans Pro"/>
        </w:rPr>
      </w:pPr>
      <w:r w:rsidRPr="00B61C0E">
        <w:rPr>
          <w:rFonts w:ascii="EC Square Sans Pro" w:hAnsi="EC Square Sans Pro"/>
        </w:rPr>
        <w:t xml:space="preserve">Independence/autonomy of the prosecution service </w:t>
      </w:r>
    </w:p>
    <w:p w14:paraId="3CF93C10" w14:textId="77777777" w:rsidR="00697CAB" w:rsidRPr="00B61C0E" w:rsidRDefault="00697CAB" w:rsidP="00697CAB">
      <w:pPr>
        <w:pStyle w:val="Bodytext30"/>
        <w:numPr>
          <w:ilvl w:val="0"/>
          <w:numId w:val="5"/>
        </w:numPr>
        <w:tabs>
          <w:tab w:val="left" w:pos="1100"/>
        </w:tabs>
        <w:spacing w:before="120"/>
        <w:ind w:left="714" w:hanging="357"/>
        <w:jc w:val="both"/>
        <w:rPr>
          <w:rFonts w:ascii="EC Square Sans Pro" w:hAnsi="EC Square Sans Pro"/>
        </w:rPr>
      </w:pPr>
      <w:r w:rsidRPr="00B61C0E">
        <w:rPr>
          <w:rFonts w:ascii="EC Square Sans Pro" w:hAnsi="EC Square Sans Pro"/>
        </w:rPr>
        <w:t>Independence of the Bar (chamber/association of lawyers) and of lawyers</w:t>
      </w:r>
    </w:p>
    <w:p w14:paraId="40821372" w14:textId="77777777" w:rsidR="00697CAB" w:rsidRPr="00B61C0E" w:rsidRDefault="00697CAB" w:rsidP="00697CAB">
      <w:pPr>
        <w:pStyle w:val="Bodytext30"/>
        <w:numPr>
          <w:ilvl w:val="0"/>
          <w:numId w:val="5"/>
        </w:numPr>
        <w:tabs>
          <w:tab w:val="left" w:pos="1100"/>
        </w:tabs>
        <w:spacing w:before="120"/>
        <w:ind w:left="714" w:hanging="357"/>
        <w:jc w:val="both"/>
        <w:rPr>
          <w:rFonts w:ascii="EC Square Sans Pro" w:hAnsi="EC Square Sans Pro"/>
        </w:rPr>
      </w:pPr>
      <w:r w:rsidRPr="00B61C0E">
        <w:rPr>
          <w:rFonts w:ascii="EC Square Sans Pro" w:hAnsi="EC Square Sans Pro"/>
        </w:rPr>
        <w:t xml:space="preserve">Significant developments capable of affecting the perception that the </w:t>
      </w:r>
      <w:proofErr w:type="gramStart"/>
      <w:r w:rsidRPr="00B61C0E">
        <w:rPr>
          <w:rFonts w:ascii="EC Square Sans Pro" w:hAnsi="EC Square Sans Pro"/>
        </w:rPr>
        <w:t>general public</w:t>
      </w:r>
      <w:proofErr w:type="gramEnd"/>
      <w:r w:rsidRPr="00B61C0E">
        <w:rPr>
          <w:rFonts w:ascii="EC Square Sans Pro" w:hAnsi="EC Square Sans Pro"/>
        </w:rPr>
        <w:t xml:space="preserve"> has of the independence of the judiciary  </w:t>
      </w:r>
      <w:bookmarkStart w:id="1" w:name="bookmark11"/>
    </w:p>
    <w:p w14:paraId="5930C9E4" w14:textId="77777777" w:rsidR="00697CAB" w:rsidRPr="00B61C0E" w:rsidRDefault="00697CAB" w:rsidP="00697CAB">
      <w:pPr>
        <w:pStyle w:val="Heading210"/>
        <w:keepNext/>
        <w:keepLines/>
        <w:numPr>
          <w:ilvl w:val="0"/>
          <w:numId w:val="7"/>
        </w:numPr>
        <w:shd w:val="clear" w:color="auto" w:fill="auto"/>
        <w:tabs>
          <w:tab w:val="left" w:pos="348"/>
        </w:tabs>
        <w:spacing w:before="120" w:after="0" w:line="240" w:lineRule="auto"/>
        <w:jc w:val="both"/>
        <w:outlineLvl w:val="0"/>
        <w:rPr>
          <w:rFonts w:ascii="EC Square Sans Pro" w:hAnsi="EC Square Sans Pro"/>
          <w:i/>
          <w:iCs/>
        </w:rPr>
      </w:pPr>
      <w:r w:rsidRPr="00B61C0E">
        <w:rPr>
          <w:rFonts w:ascii="EC Square Sans Pro" w:hAnsi="EC Square Sans Pro"/>
          <w:i/>
          <w:iCs/>
        </w:rPr>
        <w:t>Quality of justice</w:t>
      </w:r>
      <w:bookmarkEnd w:id="1"/>
      <w:r w:rsidRPr="00B61C0E">
        <w:rPr>
          <w:rStyle w:val="Allmrkuseviide"/>
          <w:rFonts w:ascii="EC Square Sans Pro" w:hAnsi="EC Square Sans Pro"/>
          <w:i/>
          <w:iCs/>
        </w:rPr>
        <w:footnoteReference w:id="3"/>
      </w:r>
    </w:p>
    <w:p w14:paraId="3FBE02A0" w14:textId="77777777" w:rsidR="00697CAB" w:rsidRPr="00B61C0E" w:rsidRDefault="00697CAB" w:rsidP="00697CAB">
      <w:pPr>
        <w:pStyle w:val="Heading110"/>
        <w:keepNext/>
        <w:keepLines/>
        <w:spacing w:before="120" w:after="120"/>
        <w:rPr>
          <w:rFonts w:ascii="EC Square Sans Pro" w:hAnsi="EC Square Sans Pro"/>
          <w:b w:val="0"/>
          <w:bCs w:val="0"/>
          <w:u w:val="single"/>
        </w:rPr>
      </w:pPr>
      <w:r w:rsidRPr="00B61C0E">
        <w:rPr>
          <w:rFonts w:ascii="EC Square Sans Pro" w:hAnsi="EC Square Sans Pro"/>
          <w:b w:val="0"/>
          <w:bCs w:val="0"/>
          <w:u w:val="single"/>
        </w:rPr>
        <w:t xml:space="preserve">Relevant topics to be covered in your contribution include: </w:t>
      </w:r>
    </w:p>
    <w:p w14:paraId="777782F2" w14:textId="77777777" w:rsidR="00697CAB" w:rsidRPr="00B61C0E" w:rsidRDefault="00697CAB" w:rsidP="00697CAB">
      <w:pPr>
        <w:pStyle w:val="Bodytext30"/>
        <w:numPr>
          <w:ilvl w:val="0"/>
          <w:numId w:val="5"/>
        </w:numPr>
        <w:shd w:val="clear" w:color="auto" w:fill="auto"/>
        <w:tabs>
          <w:tab w:val="left" w:pos="1190"/>
        </w:tabs>
        <w:spacing w:before="120" w:after="0" w:line="240" w:lineRule="auto"/>
        <w:jc w:val="both"/>
        <w:rPr>
          <w:rFonts w:ascii="EC Square Sans Pro" w:hAnsi="EC Square Sans Pro"/>
        </w:rPr>
      </w:pPr>
      <w:r w:rsidRPr="00B61C0E">
        <w:rPr>
          <w:rFonts w:ascii="EC Square Sans Pro" w:hAnsi="EC Square Sans Pro"/>
        </w:rPr>
        <w:t>Accessibility of courts (e.g. court/legal fees, legal aid, language)</w:t>
      </w:r>
    </w:p>
    <w:p w14:paraId="3EE7816A" w14:textId="77777777" w:rsidR="00697CAB" w:rsidRPr="00B61C0E" w:rsidRDefault="00697CAB" w:rsidP="00697CAB">
      <w:pPr>
        <w:pStyle w:val="Bodytext30"/>
        <w:numPr>
          <w:ilvl w:val="0"/>
          <w:numId w:val="5"/>
        </w:numPr>
        <w:shd w:val="clear" w:color="auto" w:fill="auto"/>
        <w:tabs>
          <w:tab w:val="left" w:pos="1190"/>
        </w:tabs>
        <w:spacing w:before="120" w:after="0" w:line="240" w:lineRule="auto"/>
        <w:jc w:val="both"/>
        <w:rPr>
          <w:rFonts w:ascii="EC Square Sans Pro" w:hAnsi="EC Square Sans Pro"/>
        </w:rPr>
      </w:pPr>
      <w:r w:rsidRPr="00B61C0E">
        <w:rPr>
          <w:rFonts w:ascii="EC Square Sans Pro" w:hAnsi="EC Square Sans Pro"/>
        </w:rPr>
        <w:t>Resources of the judiciary (human/financial/material</w:t>
      </w:r>
      <w:r w:rsidRPr="00B61C0E">
        <w:rPr>
          <w:rStyle w:val="Allmrkuseviide"/>
          <w:rFonts w:ascii="EC Square Sans Pro" w:hAnsi="EC Square Sans Pro"/>
        </w:rPr>
        <w:footnoteReference w:id="4"/>
      </w:r>
      <w:r w:rsidRPr="00B61C0E">
        <w:rPr>
          <w:rFonts w:ascii="EC Square Sans Pro" w:hAnsi="EC Square Sans Pro"/>
        </w:rPr>
        <w:t xml:space="preserve">), remuneration/bonuses/rewards for judges and prosecutors, including observed changes (significant and targeted increase or decrease over the past year), </w:t>
      </w:r>
    </w:p>
    <w:p w14:paraId="525C90F4" w14:textId="77777777" w:rsidR="00697CAB" w:rsidRPr="00B61C0E" w:rsidRDefault="00697CAB" w:rsidP="00697CAB">
      <w:pPr>
        <w:pStyle w:val="Bodytext30"/>
        <w:numPr>
          <w:ilvl w:val="0"/>
          <w:numId w:val="5"/>
        </w:numPr>
        <w:shd w:val="clear" w:color="auto" w:fill="auto"/>
        <w:tabs>
          <w:tab w:val="left" w:pos="1190"/>
        </w:tabs>
        <w:spacing w:before="120" w:after="0" w:line="240" w:lineRule="auto"/>
        <w:jc w:val="both"/>
        <w:rPr>
          <w:rFonts w:ascii="EC Square Sans Pro" w:hAnsi="EC Square Sans Pro"/>
        </w:rPr>
      </w:pPr>
      <w:r w:rsidRPr="00B61C0E">
        <w:rPr>
          <w:rFonts w:ascii="EC Square Sans Pro" w:hAnsi="EC Square Sans Pro"/>
        </w:rPr>
        <w:t>Training of justice professionals (including judges, prosecutors, lawyers, court staff, clerks/trainees)</w:t>
      </w:r>
      <w:r w:rsidRPr="00B61C0E">
        <w:rPr>
          <w:rFonts w:ascii="EC Square Sans Pro" w:hAnsi="EC Square Sans Pro"/>
          <w:strike/>
        </w:rPr>
        <w:t xml:space="preserve"> </w:t>
      </w:r>
    </w:p>
    <w:p w14:paraId="4431CB7D" w14:textId="77777777" w:rsidR="00697CAB" w:rsidRPr="00B61C0E" w:rsidRDefault="00697CAB" w:rsidP="00697CAB">
      <w:pPr>
        <w:pStyle w:val="Bodytext30"/>
        <w:numPr>
          <w:ilvl w:val="0"/>
          <w:numId w:val="5"/>
        </w:numPr>
        <w:shd w:val="clear" w:color="auto" w:fill="auto"/>
        <w:tabs>
          <w:tab w:val="left" w:pos="1190"/>
        </w:tabs>
        <w:spacing w:before="120" w:after="0" w:line="240" w:lineRule="auto"/>
        <w:jc w:val="both"/>
        <w:rPr>
          <w:rFonts w:ascii="EC Square Sans Pro" w:hAnsi="EC Square Sans Pro"/>
        </w:rPr>
      </w:pPr>
      <w:r w:rsidRPr="00B61C0E">
        <w:rPr>
          <w:rFonts w:ascii="EC Square Sans Pro" w:hAnsi="EC Square Sans Pro"/>
        </w:rPr>
        <w:t>Digitalisation (e.g. use of digital technology, including electronic communication and AI tools, within the justice system and with court users, procedural rules, access to judgments online)</w:t>
      </w:r>
      <w:r w:rsidRPr="00B61C0E">
        <w:rPr>
          <w:rStyle w:val="Allmrkuseviide"/>
          <w:rFonts w:ascii="EC Square Sans Pro" w:hAnsi="EC Square Sans Pro"/>
        </w:rPr>
        <w:footnoteReference w:id="5"/>
      </w:r>
    </w:p>
    <w:p w14:paraId="45585500" w14:textId="77777777" w:rsidR="00697CAB" w:rsidRPr="00B61C0E" w:rsidRDefault="00697CAB" w:rsidP="00697CAB">
      <w:pPr>
        <w:pStyle w:val="Bodytext30"/>
        <w:numPr>
          <w:ilvl w:val="0"/>
          <w:numId w:val="5"/>
        </w:numPr>
        <w:shd w:val="clear" w:color="auto" w:fill="auto"/>
        <w:tabs>
          <w:tab w:val="left" w:pos="1190"/>
        </w:tabs>
        <w:spacing w:before="120" w:after="0" w:line="240" w:lineRule="auto"/>
        <w:jc w:val="both"/>
        <w:rPr>
          <w:rFonts w:ascii="EC Square Sans Pro" w:hAnsi="EC Square Sans Pro"/>
        </w:rPr>
      </w:pPr>
      <w:r w:rsidRPr="00B61C0E">
        <w:rPr>
          <w:rFonts w:ascii="EC Square Sans Pro" w:hAnsi="EC Square Sans Pro"/>
        </w:rPr>
        <w:t>Use of assessment tools and standards (e.g. ICT systems, including AI-based systems, for case management, court statistics and their transparency, monitoring, evaluation, surveys among court users or legal professionals)</w:t>
      </w:r>
    </w:p>
    <w:p w14:paraId="68C1ABA0" w14:textId="77777777" w:rsidR="00697CAB" w:rsidRPr="00B61C0E" w:rsidRDefault="00697CAB" w:rsidP="00697CAB">
      <w:pPr>
        <w:pStyle w:val="Bodytext30"/>
        <w:numPr>
          <w:ilvl w:val="0"/>
          <w:numId w:val="5"/>
        </w:numPr>
        <w:shd w:val="clear" w:color="auto" w:fill="auto"/>
        <w:tabs>
          <w:tab w:val="left" w:pos="1190"/>
        </w:tabs>
        <w:spacing w:before="120" w:line="240" w:lineRule="auto"/>
        <w:jc w:val="both"/>
        <w:rPr>
          <w:rFonts w:ascii="EC Square Sans Pro" w:hAnsi="EC Square Sans Pro"/>
        </w:rPr>
      </w:pPr>
      <w:r w:rsidRPr="00B61C0E">
        <w:rPr>
          <w:rFonts w:ascii="EC Square Sans Pro" w:hAnsi="EC Square Sans Pro"/>
        </w:rPr>
        <w:t xml:space="preserve">Geographical distribution and number of courts/jurisdictions (“judicial map”) and their specialisation, in particular specific courts or chambers within courts to deal with fraud and </w:t>
      </w:r>
      <w:r w:rsidRPr="00B61C0E">
        <w:rPr>
          <w:rFonts w:ascii="EC Square Sans Pro" w:hAnsi="EC Square Sans Pro"/>
        </w:rPr>
        <w:lastRenderedPageBreak/>
        <w:t xml:space="preserve">corruption cases. </w:t>
      </w:r>
    </w:p>
    <w:p w14:paraId="68E21607" w14:textId="79D32DCA" w:rsidR="00697CAB" w:rsidRPr="00B61C0E" w:rsidRDefault="00697CAB" w:rsidP="00697CAB">
      <w:pPr>
        <w:pStyle w:val="Bodytext30"/>
        <w:numPr>
          <w:ilvl w:val="0"/>
          <w:numId w:val="5"/>
        </w:numPr>
        <w:shd w:val="clear" w:color="auto" w:fill="auto"/>
        <w:tabs>
          <w:tab w:val="left" w:pos="1190"/>
        </w:tabs>
        <w:spacing w:before="120" w:after="0" w:line="240" w:lineRule="auto"/>
        <w:jc w:val="both"/>
        <w:rPr>
          <w:rFonts w:ascii="EC Square Sans Pro" w:hAnsi="EC Square Sans Pro"/>
          <w:i w:val="0"/>
          <w:iCs w:val="0"/>
        </w:rPr>
      </w:pPr>
      <w:r w:rsidRPr="00B61C0E">
        <w:rPr>
          <w:rFonts w:ascii="EC Square Sans Pro" w:hAnsi="EC Square Sans Pro"/>
        </w:rPr>
        <w:t>Specialisation</w:t>
      </w:r>
      <w:r w:rsidRPr="00B61C0E">
        <w:rPr>
          <w:rFonts w:ascii="EC Square Sans Pro" w:hAnsi="EC Square Sans Pro" w:cs="Times New Roman"/>
        </w:rPr>
        <w:t xml:space="preserve"> (of judges/specific courts/chambers within courts) and training for the judiciary to deal with commercial cases</w:t>
      </w:r>
      <w:r w:rsidR="00F13698" w:rsidRPr="00B61C0E">
        <w:rPr>
          <w:rFonts w:ascii="EC Square Sans Pro" w:hAnsi="EC Square Sans Pro" w:cs="Times New Roman"/>
        </w:rPr>
        <w:t>, as well as alternative dispute resolution mechanisms and mediation as regards commercial cases</w:t>
      </w:r>
      <w:r w:rsidRPr="00B61C0E">
        <w:rPr>
          <w:rFonts w:ascii="EC Square Sans Pro" w:hAnsi="EC Square Sans Pro" w:cs="Times New Roman"/>
        </w:rPr>
        <w:t xml:space="preserve">. </w:t>
      </w:r>
    </w:p>
    <w:p w14:paraId="319F40A4" w14:textId="77777777" w:rsidR="00697CAB" w:rsidRPr="00B61C0E" w:rsidRDefault="00697CAB" w:rsidP="00697CAB">
      <w:pPr>
        <w:pStyle w:val="Heading110"/>
        <w:keepNext/>
        <w:keepLines/>
        <w:numPr>
          <w:ilvl w:val="0"/>
          <w:numId w:val="7"/>
        </w:numPr>
        <w:shd w:val="clear" w:color="auto" w:fill="auto"/>
        <w:spacing w:before="120" w:after="0" w:line="240" w:lineRule="auto"/>
        <w:rPr>
          <w:rFonts w:ascii="EC Square Sans Pro" w:hAnsi="EC Square Sans Pro"/>
        </w:rPr>
      </w:pPr>
      <w:bookmarkStart w:id="2" w:name="bookmark12"/>
      <w:r w:rsidRPr="00B61C0E">
        <w:rPr>
          <w:rFonts w:ascii="EC Square Sans Pro" w:hAnsi="EC Square Sans Pro"/>
        </w:rPr>
        <w:t>Efficiency of the justice system</w:t>
      </w:r>
      <w:bookmarkEnd w:id="2"/>
      <w:r w:rsidRPr="00B61C0E">
        <w:rPr>
          <w:rStyle w:val="Allmrkuseviide"/>
          <w:rFonts w:ascii="EC Square Sans Pro" w:hAnsi="EC Square Sans Pro"/>
        </w:rPr>
        <w:footnoteReference w:id="6"/>
      </w:r>
      <w:r w:rsidRPr="00B61C0E">
        <w:rPr>
          <w:rFonts w:ascii="EC Square Sans Pro" w:hAnsi="EC Square Sans Pro"/>
        </w:rPr>
        <w:t>:</w:t>
      </w:r>
    </w:p>
    <w:p w14:paraId="457F9152" w14:textId="77777777" w:rsidR="00697CAB" w:rsidRPr="00B61C0E" w:rsidRDefault="00697CAB" w:rsidP="00697CAB">
      <w:pPr>
        <w:pStyle w:val="Bodytext30"/>
        <w:shd w:val="clear" w:color="auto" w:fill="auto"/>
        <w:tabs>
          <w:tab w:val="left" w:pos="1190"/>
        </w:tabs>
        <w:spacing w:before="120" w:line="240" w:lineRule="auto"/>
        <w:ind w:firstLine="0"/>
        <w:jc w:val="both"/>
        <w:rPr>
          <w:rFonts w:ascii="EC Square Sans Pro" w:hAnsi="EC Square Sans Pro"/>
          <w:i w:val="0"/>
          <w:iCs w:val="0"/>
        </w:rPr>
      </w:pPr>
      <w:r w:rsidRPr="00B61C0E">
        <w:rPr>
          <w:rFonts w:ascii="EC Square Sans Pro" w:hAnsi="EC Square Sans Pro"/>
        </w:rPr>
        <w:t>E.g. Measures as regards length of proceedings, to address backlogs</w:t>
      </w:r>
      <w:r w:rsidRPr="00B61C0E">
        <w:rPr>
          <w:rFonts w:ascii="EC Square Sans Pro" w:hAnsi="EC Square Sans Pro"/>
          <w:i w:val="0"/>
          <w:iCs w:val="0"/>
        </w:rPr>
        <w:t xml:space="preserve">, …  </w:t>
      </w:r>
    </w:p>
    <w:p w14:paraId="49F6C40A" w14:textId="77777777" w:rsidR="00697CAB" w:rsidRPr="00B61C0E" w:rsidRDefault="00697CAB" w:rsidP="00697CAB">
      <w:pPr>
        <w:pStyle w:val="Bodytext30"/>
        <w:shd w:val="clear" w:color="auto" w:fill="auto"/>
        <w:tabs>
          <w:tab w:val="left" w:pos="1190"/>
        </w:tabs>
        <w:spacing w:before="120" w:after="240" w:line="240" w:lineRule="auto"/>
        <w:ind w:firstLine="0"/>
        <w:jc w:val="both"/>
        <w:rPr>
          <w:rFonts w:ascii="EC Square Sans Pro" w:hAnsi="EC Square Sans Pro"/>
          <w:b/>
        </w:rPr>
      </w:pPr>
      <w:r w:rsidRPr="00B61C0E">
        <w:rPr>
          <w:rFonts w:ascii="EC Square Sans Pro" w:hAnsi="EC Square Sans Pro"/>
          <w:b/>
        </w:rPr>
        <w:t>Other – please specify</w:t>
      </w:r>
    </w:p>
    <w:p w14:paraId="1ACB97E4" w14:textId="77777777" w:rsidR="00697CAB" w:rsidRPr="00B61C0E" w:rsidRDefault="00697CAB" w:rsidP="00697CAB">
      <w:pPr>
        <w:pStyle w:val="Heading210"/>
        <w:numPr>
          <w:ilvl w:val="0"/>
          <w:numId w:val="1"/>
        </w:numPr>
        <w:pBdr>
          <w:top w:val="single" w:sz="4" w:space="1" w:color="auto"/>
          <w:left w:val="single" w:sz="4" w:space="4" w:color="auto"/>
          <w:bottom w:val="single" w:sz="4" w:space="1" w:color="auto"/>
          <w:right w:val="single" w:sz="4" w:space="4" w:color="auto"/>
        </w:pBdr>
        <w:shd w:val="clear" w:color="auto" w:fill="D9F2D0" w:themeFill="accent6" w:themeFillTint="33"/>
        <w:tabs>
          <w:tab w:val="left" w:pos="363"/>
        </w:tabs>
        <w:spacing w:before="120" w:after="0" w:line="240" w:lineRule="auto"/>
        <w:jc w:val="both"/>
        <w:rPr>
          <w:rFonts w:ascii="EC Square Sans Pro" w:hAnsi="EC Square Sans Pro"/>
          <w:lang w:val="en-IE"/>
        </w:rPr>
      </w:pPr>
      <w:bookmarkStart w:id="3" w:name="bookmark13"/>
      <w:r w:rsidRPr="00B61C0E">
        <w:rPr>
          <w:rFonts w:ascii="EC Square Sans Pro" w:hAnsi="EC Square Sans Pro"/>
          <w:lang w:val="en-IE"/>
        </w:rPr>
        <w:t>Anti-corruption framework</w:t>
      </w:r>
      <w:bookmarkEnd w:id="3"/>
      <w:r w:rsidRPr="00B61C0E">
        <w:rPr>
          <w:rStyle w:val="Allmrkuseviide"/>
          <w:rFonts w:ascii="EC Square Sans Pro" w:hAnsi="EC Square Sans Pro"/>
          <w:lang w:val="en-IE"/>
        </w:rPr>
        <w:footnoteReference w:id="7"/>
      </w:r>
    </w:p>
    <w:p w14:paraId="0F8EBAA8" w14:textId="77777777" w:rsidR="00697CAB" w:rsidRPr="00B61C0E" w:rsidRDefault="00697CAB" w:rsidP="00697CAB">
      <w:pPr>
        <w:pStyle w:val="Heading110"/>
        <w:keepNext/>
        <w:keepLines/>
        <w:numPr>
          <w:ilvl w:val="0"/>
          <w:numId w:val="2"/>
        </w:numPr>
        <w:shd w:val="clear" w:color="auto" w:fill="auto"/>
        <w:spacing w:before="120" w:after="0" w:line="240" w:lineRule="auto"/>
        <w:ind w:left="426" w:hanging="426"/>
        <w:rPr>
          <w:rFonts w:ascii="EC Square Sans Pro" w:hAnsi="EC Square Sans Pro"/>
        </w:rPr>
      </w:pPr>
      <w:bookmarkStart w:id="5" w:name="bookmark15"/>
      <w:r w:rsidRPr="00B61C0E">
        <w:rPr>
          <w:rFonts w:ascii="EC Square Sans Pro" w:hAnsi="EC Square Sans Pro"/>
        </w:rPr>
        <w:t xml:space="preserve">The institutional framework capacity to fight against corruption (prevention and investigation </w:t>
      </w:r>
      <w:r w:rsidRPr="00B61C0E">
        <w:rPr>
          <w:rFonts w:ascii="EC Square Sans Pro" w:hAnsi="EC Square Sans Pro"/>
          <w:lang w:eastAsia="bg-BG" w:bidi="bg-BG"/>
        </w:rPr>
        <w:t xml:space="preserve">/ </w:t>
      </w:r>
      <w:r w:rsidRPr="00B61C0E">
        <w:rPr>
          <w:rFonts w:ascii="EC Square Sans Pro" w:hAnsi="EC Square Sans Pro"/>
        </w:rPr>
        <w:t>prosecution)</w:t>
      </w:r>
      <w:bookmarkEnd w:id="5"/>
    </w:p>
    <w:p w14:paraId="719B74AD" w14:textId="77777777" w:rsidR="00697CAB" w:rsidRPr="00B61C0E" w:rsidRDefault="00697CAB" w:rsidP="00697CAB">
      <w:pPr>
        <w:pStyle w:val="Heading110"/>
        <w:keepNext/>
        <w:keepLines/>
        <w:spacing w:before="120" w:after="120"/>
        <w:rPr>
          <w:rFonts w:ascii="EC Square Sans Pro" w:hAnsi="EC Square Sans Pro"/>
          <w:b w:val="0"/>
          <w:bCs w:val="0"/>
          <w:u w:val="single"/>
        </w:rPr>
      </w:pPr>
      <w:r w:rsidRPr="00B61C0E">
        <w:rPr>
          <w:rFonts w:ascii="EC Square Sans Pro" w:hAnsi="EC Square Sans Pro"/>
          <w:b w:val="0"/>
          <w:bCs w:val="0"/>
          <w:u w:val="single"/>
        </w:rPr>
        <w:t xml:space="preserve">Relevant topics to be covered in your contribution include: </w:t>
      </w:r>
    </w:p>
    <w:p w14:paraId="73D81325"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color w:val="000000" w:themeColor="text1"/>
        </w:rPr>
      </w:pPr>
      <w:r w:rsidRPr="00B61C0E">
        <w:rPr>
          <w:rFonts w:ascii="EC Square Sans Pro" w:hAnsi="EC Square Sans Pro"/>
        </w:rPr>
        <w:t xml:space="preserve">List any </w:t>
      </w:r>
      <w:r w:rsidRPr="00B61C0E">
        <w:rPr>
          <w:rFonts w:ascii="EC Square Sans Pro" w:hAnsi="EC Square Sans Pro"/>
          <w:b/>
          <w:bCs/>
        </w:rPr>
        <w:t>changes</w:t>
      </w:r>
      <w:r w:rsidRPr="00B61C0E">
        <w:rPr>
          <w:rFonts w:ascii="EC Square Sans Pro" w:hAnsi="EC Square Sans Pro"/>
        </w:rPr>
        <w:t xml:space="preserve"> as regards relevant authorities (e.g. national agencies, bodies) in charge of prevention, detection, investigation and prosecution of corruption and the resources allocated to each of these authorities (the human, financial, legal, and technical/specialised resources as relevant), including the cooperation among domestic and with foreign authorities. Indicate any relevant measures taken to effectively and timely cooperate with OLAF and EPPO. </w:t>
      </w:r>
    </w:p>
    <w:p w14:paraId="43636DD9"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color w:val="000000" w:themeColor="text1"/>
        </w:rPr>
      </w:pPr>
      <w:r w:rsidRPr="00B61C0E">
        <w:rPr>
          <w:rFonts w:ascii="EC Square Sans Pro" w:hAnsi="EC Square Sans Pro"/>
        </w:rPr>
        <w:t>Safeguards</w:t>
      </w:r>
      <w:r w:rsidRPr="00B61C0E">
        <w:rPr>
          <w:rFonts w:ascii="EC Square Sans Pro" w:hAnsi="EC Square Sans Pro"/>
          <w:iCs w:val="0"/>
        </w:rPr>
        <w:t xml:space="preserve"> for the functional independence of the authorities tasked with the prevention and </w:t>
      </w:r>
      <w:r w:rsidRPr="00B61C0E">
        <w:rPr>
          <w:rFonts w:ascii="EC Square Sans Pro" w:hAnsi="EC Square Sans Pro"/>
        </w:rPr>
        <w:t>detection</w:t>
      </w:r>
      <w:r w:rsidRPr="00B61C0E">
        <w:rPr>
          <w:rFonts w:ascii="EC Square Sans Pro" w:hAnsi="EC Square Sans Pro"/>
          <w:iCs w:val="0"/>
        </w:rPr>
        <w:t xml:space="preserve"> of corruption. </w:t>
      </w:r>
    </w:p>
    <w:p w14:paraId="5879FDF7"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color w:val="000000" w:themeColor="text1"/>
        </w:rPr>
      </w:pPr>
      <w:r w:rsidRPr="00B61C0E">
        <w:rPr>
          <w:rFonts w:ascii="EC Square Sans Pro" w:hAnsi="EC Square Sans Pro"/>
        </w:rPr>
        <w:t>Information</w:t>
      </w:r>
      <w:r w:rsidRPr="00B61C0E">
        <w:rPr>
          <w:rFonts w:ascii="EC Square Sans Pro" w:hAnsi="EC Square Sans Pro"/>
          <w:color w:val="000000" w:themeColor="text1"/>
        </w:rPr>
        <w:t xml:space="preserve"> on the implementation of measures foreseen in the strategic anti-corruption framework (if applicable). If available, please provide relevant objectives and indicators.</w:t>
      </w:r>
    </w:p>
    <w:p w14:paraId="5B10C84B" w14:textId="77777777" w:rsidR="00697CAB" w:rsidRPr="00B61C0E" w:rsidRDefault="00697CAB" w:rsidP="00697CAB">
      <w:pPr>
        <w:pStyle w:val="Heading110"/>
        <w:keepNext/>
        <w:keepLines/>
        <w:numPr>
          <w:ilvl w:val="0"/>
          <w:numId w:val="2"/>
        </w:numPr>
        <w:shd w:val="clear" w:color="auto" w:fill="auto"/>
        <w:spacing w:before="120" w:after="0" w:line="240" w:lineRule="auto"/>
        <w:ind w:left="426" w:hanging="426"/>
        <w:rPr>
          <w:rFonts w:ascii="EC Square Sans Pro" w:hAnsi="EC Square Sans Pro"/>
        </w:rPr>
      </w:pPr>
      <w:bookmarkStart w:id="6" w:name="bookmark17"/>
      <w:r w:rsidRPr="00B61C0E">
        <w:rPr>
          <w:rFonts w:ascii="EC Square Sans Pro" w:hAnsi="EC Square Sans Pro"/>
        </w:rPr>
        <w:t>Prevention</w:t>
      </w:r>
      <w:bookmarkEnd w:id="6"/>
    </w:p>
    <w:p w14:paraId="2DE0BDBD" w14:textId="77777777" w:rsidR="00697CAB" w:rsidRPr="00B61C0E" w:rsidRDefault="00697CAB" w:rsidP="00697CAB">
      <w:pPr>
        <w:pStyle w:val="Heading110"/>
        <w:keepNext/>
        <w:keepLines/>
        <w:spacing w:before="120" w:after="120"/>
        <w:rPr>
          <w:rFonts w:ascii="EC Square Sans Pro" w:hAnsi="EC Square Sans Pro"/>
          <w:b w:val="0"/>
          <w:bCs w:val="0"/>
          <w:u w:val="single"/>
        </w:rPr>
      </w:pPr>
      <w:r w:rsidRPr="00B61C0E">
        <w:rPr>
          <w:rFonts w:ascii="EC Square Sans Pro" w:hAnsi="EC Square Sans Pro"/>
          <w:b w:val="0"/>
          <w:bCs w:val="0"/>
          <w:u w:val="single"/>
        </w:rPr>
        <w:t xml:space="preserve">Relevant topics to be covered in your contribution include: </w:t>
      </w:r>
    </w:p>
    <w:p w14:paraId="21DBC2FE" w14:textId="79064CB9"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 xml:space="preserve">Measures to enhance integrity in the public sector </w:t>
      </w:r>
      <w:proofErr w:type="gramStart"/>
      <w:r w:rsidRPr="00B61C0E">
        <w:rPr>
          <w:rFonts w:ascii="EC Square Sans Pro" w:hAnsi="EC Square Sans Pro"/>
          <w:u w:val="single"/>
          <w:lang w:bidi="en-US"/>
        </w:rPr>
        <w:t>in particular</w:t>
      </w:r>
      <w:r w:rsidRPr="00B61C0E">
        <w:rPr>
          <w:rFonts w:ascii="EC Square Sans Pro" w:hAnsi="EC Square Sans Pro"/>
          <w:lang w:bidi="en-US"/>
        </w:rPr>
        <w:t xml:space="preserve"> as</w:t>
      </w:r>
      <w:proofErr w:type="gramEnd"/>
      <w:r w:rsidRPr="00B61C0E">
        <w:rPr>
          <w:rFonts w:ascii="EC Square Sans Pro" w:hAnsi="EC Square Sans Pro"/>
          <w:lang w:bidi="en-US"/>
        </w:rPr>
        <w:t xml:space="preserve"> regards high-level officials</w:t>
      </w:r>
      <w:r w:rsidRPr="00B61C0E">
        <w:rPr>
          <w:rFonts w:ascii="EC Square Sans Pro" w:hAnsi="EC Square Sans Pro"/>
        </w:rPr>
        <w:t xml:space="preserve"> (including as regards incompatibility rules, revolving doors, codes of conduct, ethics) </w:t>
      </w:r>
      <w:bookmarkStart w:id="7" w:name="_Hlk181962129"/>
    </w:p>
    <w:bookmarkEnd w:id="7"/>
    <w:p w14:paraId="06D4611F"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 xml:space="preserve">Measures to enhance general transparency of public decision-making (including rules on lobbying, asset and interest disclosure rules, gifts policy, transparency of political party financing). </w:t>
      </w:r>
    </w:p>
    <w:p w14:paraId="1C9E8362"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 xml:space="preserve">Measures to prevent conflicts of interest in the public sector. Please specify the features and scope of their application (e.g. categories of officials concerned, types of checks and corrective measures depending on the category of officials concerned). </w:t>
      </w:r>
    </w:p>
    <w:p w14:paraId="08230505" w14:textId="77777777" w:rsidR="00697CAB" w:rsidRPr="00B61C0E" w:rsidRDefault="00697CAB" w:rsidP="00697CAB">
      <w:pPr>
        <w:pStyle w:val="Bodytext30"/>
        <w:shd w:val="clear" w:color="auto" w:fill="auto"/>
        <w:tabs>
          <w:tab w:val="left" w:pos="1194"/>
        </w:tabs>
        <w:spacing w:before="120" w:after="0" w:line="240" w:lineRule="auto"/>
        <w:ind w:left="720" w:firstLine="0"/>
        <w:jc w:val="both"/>
        <w:rPr>
          <w:rFonts w:ascii="EC Square Sans Pro" w:hAnsi="EC Square Sans Pro"/>
        </w:rPr>
      </w:pPr>
      <w:r w:rsidRPr="00B61C0E">
        <w:rPr>
          <w:rFonts w:ascii="Wingdings" w:eastAsia="Wingdings" w:hAnsi="Wingdings" w:cs="Wingdings"/>
          <w:b/>
        </w:rPr>
        <w:sym w:font="Wingdings" w:char="F0E0"/>
      </w:r>
      <w:r w:rsidRPr="00B61C0E">
        <w:rPr>
          <w:rFonts w:ascii="EC Square Sans Pro" w:hAnsi="EC Square Sans Pro"/>
          <w:b/>
          <w:iCs w:val="0"/>
        </w:rPr>
        <w:t xml:space="preserve"> </w:t>
      </w:r>
      <w:bookmarkStart w:id="8" w:name="_Hlk183510885"/>
      <w:r w:rsidRPr="00B61C0E">
        <w:rPr>
          <w:rFonts w:ascii="EC Square Sans Pro" w:hAnsi="EC Square Sans Pro"/>
          <w:iCs w:val="0"/>
        </w:rPr>
        <w:t xml:space="preserve">For the three previous points, </w:t>
      </w:r>
      <w:r w:rsidRPr="00B61C0E">
        <w:rPr>
          <w:rFonts w:ascii="EC Square Sans Pro" w:hAnsi="EC Square Sans Pro"/>
          <w:b/>
          <w:iCs w:val="0"/>
        </w:rPr>
        <w:t xml:space="preserve">please </w:t>
      </w:r>
      <w:r w:rsidRPr="00B61C0E">
        <w:rPr>
          <w:rFonts w:ascii="EC Square Sans Pro" w:hAnsi="EC Square Sans Pro"/>
          <w:b/>
          <w:bCs/>
          <w:iCs w:val="0"/>
        </w:rPr>
        <w:t xml:space="preserve">also </w:t>
      </w:r>
      <w:r w:rsidRPr="00B61C0E">
        <w:rPr>
          <w:rFonts w:ascii="EC Square Sans Pro" w:hAnsi="EC Square Sans Pro"/>
          <w:b/>
          <w:iCs w:val="0"/>
        </w:rPr>
        <w:t xml:space="preserve">provide </w:t>
      </w:r>
      <w:r w:rsidRPr="00B61C0E">
        <w:rPr>
          <w:rFonts w:ascii="EC Square Sans Pro" w:hAnsi="EC Square Sans Pro"/>
          <w:b/>
          <w:bCs/>
          <w:iCs w:val="0"/>
        </w:rPr>
        <w:t xml:space="preserve">information and </w:t>
      </w:r>
      <w:r w:rsidRPr="00B61C0E">
        <w:rPr>
          <w:rFonts w:ascii="EC Square Sans Pro" w:hAnsi="EC Square Sans Pro"/>
          <w:b/>
          <w:iCs w:val="0"/>
        </w:rPr>
        <w:t>figures on their application/enforcement</w:t>
      </w:r>
      <w:r w:rsidRPr="00B61C0E">
        <w:rPr>
          <w:rFonts w:ascii="EC Square Sans Pro" w:hAnsi="EC Square Sans Pro"/>
          <w:iCs w:val="0"/>
        </w:rPr>
        <w:t>,</w:t>
      </w:r>
      <w:r w:rsidRPr="00B61C0E">
        <w:rPr>
          <w:rFonts w:ascii="EC Square Sans Pro" w:hAnsi="EC Square Sans Pro"/>
        </w:rPr>
        <w:t xml:space="preserve"> </w:t>
      </w:r>
      <w:bookmarkStart w:id="9" w:name="_Hlk181962015"/>
      <w:r w:rsidRPr="00B61C0E">
        <w:rPr>
          <w:rFonts w:ascii="EC Square Sans Pro" w:hAnsi="EC Square Sans Pro"/>
        </w:rPr>
        <w:t>such as number of detected breaches/irregularities of the various rules in place and the follow-up given (investigations, sanctions, etc.).</w:t>
      </w:r>
      <w:bookmarkEnd w:id="8"/>
    </w:p>
    <w:bookmarkEnd w:id="9"/>
    <w:p w14:paraId="4284500E"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 xml:space="preserve">Measures to ensure whistleblower protection and encourage reporting of corruption, including their application (i.e. number of reports received, and the follow-up given). </w:t>
      </w:r>
    </w:p>
    <w:p w14:paraId="69000E9D"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color w:val="000000" w:themeColor="text1"/>
          <w:sz w:val="20"/>
          <w:szCs w:val="20"/>
        </w:rPr>
      </w:pPr>
      <w:r w:rsidRPr="00B61C0E">
        <w:rPr>
          <w:rFonts w:ascii="EC Square Sans Pro" w:hAnsi="EC Square Sans Pro"/>
        </w:rPr>
        <w:t xml:space="preserve">Specific measures to enhance transparency, integrity and accountability in sectors with </w:t>
      </w:r>
      <w:r w:rsidRPr="00B61C0E">
        <w:rPr>
          <w:rFonts w:ascii="EC Square Sans Pro" w:hAnsi="EC Square Sans Pro"/>
          <w:u w:val="single"/>
        </w:rPr>
        <w:t>high risks of corruption</w:t>
      </w:r>
      <w:r w:rsidRPr="00B61C0E">
        <w:rPr>
          <w:rFonts w:ascii="EC Square Sans Pro" w:hAnsi="EC Square Sans Pro"/>
        </w:rPr>
        <w:t xml:space="preserve">, with a view to </w:t>
      </w:r>
      <w:r w:rsidRPr="00B61C0E">
        <w:rPr>
          <w:rFonts w:ascii="EC Square Sans Pro" w:hAnsi="EC Square Sans Pro"/>
          <w:color w:val="000000" w:themeColor="text1"/>
        </w:rPr>
        <w:t>monitor and prevent corruption and conflict of interests, and</w:t>
      </w:r>
      <w:r w:rsidRPr="00B61C0E">
        <w:t xml:space="preserve"> </w:t>
      </w:r>
      <w:r w:rsidRPr="00B61C0E">
        <w:rPr>
          <w:rFonts w:ascii="EC Square Sans Pro" w:hAnsi="EC Square Sans Pro"/>
          <w:color w:val="000000" w:themeColor="text1"/>
        </w:rPr>
        <w:lastRenderedPageBreak/>
        <w:t xml:space="preserve">where applicable measures to prevent and address corruption committed by organised crime groups. </w:t>
      </w:r>
    </w:p>
    <w:p w14:paraId="423D7B98" w14:textId="661E3074" w:rsidR="00697CAB" w:rsidRPr="00B61C0E" w:rsidRDefault="00697CAB" w:rsidP="00697CAB">
      <w:pPr>
        <w:pStyle w:val="Bodytext30"/>
        <w:numPr>
          <w:ilvl w:val="0"/>
          <w:numId w:val="6"/>
        </w:numPr>
        <w:shd w:val="clear" w:color="auto" w:fill="auto"/>
        <w:tabs>
          <w:tab w:val="left" w:pos="1194"/>
        </w:tabs>
        <w:spacing w:before="0" w:after="0" w:line="240" w:lineRule="auto"/>
        <w:jc w:val="both"/>
        <w:rPr>
          <w:rFonts w:ascii="EC Square Sans Pro" w:hAnsi="EC Square Sans Pro"/>
          <w:color w:val="000000" w:themeColor="text1"/>
          <w:sz w:val="20"/>
          <w:szCs w:val="20"/>
        </w:rPr>
      </w:pPr>
      <w:r w:rsidRPr="00B61C0E">
        <w:rPr>
          <w:rFonts w:ascii="EC Square Sans Pro" w:hAnsi="EC Square Sans Pro"/>
          <w:color w:val="000000" w:themeColor="text1"/>
          <w:sz w:val="20"/>
          <w:szCs w:val="20"/>
        </w:rPr>
        <w:t xml:space="preserve">Such high-risk sectors could </w:t>
      </w:r>
      <w:proofErr w:type="gramStart"/>
      <w:r w:rsidRPr="00B61C0E">
        <w:rPr>
          <w:rFonts w:ascii="EC Square Sans Pro" w:hAnsi="EC Square Sans Pro"/>
          <w:color w:val="000000" w:themeColor="text1"/>
          <w:sz w:val="20"/>
          <w:szCs w:val="20"/>
        </w:rPr>
        <w:t>include:</w:t>
      </w:r>
      <w:proofErr w:type="gramEnd"/>
      <w:r w:rsidRPr="00B61C0E">
        <w:rPr>
          <w:rFonts w:ascii="EC Square Sans Pro" w:hAnsi="EC Square Sans Pro"/>
          <w:color w:val="000000" w:themeColor="text1"/>
          <w:sz w:val="20"/>
          <w:szCs w:val="20"/>
        </w:rPr>
        <w:t xml:space="preserve"> public procurement, including </w:t>
      </w:r>
      <w:r w:rsidRPr="00B61C0E">
        <w:rPr>
          <w:rFonts w:ascii="EC Square Sans Pro" w:hAnsi="EC Square Sans Pro"/>
          <w:sz w:val="20"/>
          <w:szCs w:val="20"/>
        </w:rPr>
        <w:t xml:space="preserve">construction, transport/infrastructure, defence, cohesion, agriculture, environment, healthcare, investor residence schemes, large-scale investments of national interest and the spending of EU funds, urban planning. </w:t>
      </w:r>
    </w:p>
    <w:p w14:paraId="4BBB58E6" w14:textId="77777777" w:rsidR="00697CAB" w:rsidRPr="00B61C0E" w:rsidRDefault="00697CAB" w:rsidP="00697CAB">
      <w:pPr>
        <w:pStyle w:val="Bodytext30"/>
        <w:numPr>
          <w:ilvl w:val="0"/>
          <w:numId w:val="6"/>
        </w:numPr>
        <w:shd w:val="clear" w:color="auto" w:fill="auto"/>
        <w:tabs>
          <w:tab w:val="left" w:pos="1194"/>
        </w:tabs>
        <w:spacing w:before="0" w:after="0" w:line="240" w:lineRule="auto"/>
        <w:jc w:val="both"/>
        <w:rPr>
          <w:rFonts w:ascii="EC Square Sans Pro" w:hAnsi="EC Square Sans Pro"/>
          <w:color w:val="000000" w:themeColor="text1"/>
          <w:sz w:val="20"/>
          <w:szCs w:val="20"/>
        </w:rPr>
      </w:pPr>
      <w:proofErr w:type="gramStart"/>
      <w:r w:rsidRPr="00B61C0E">
        <w:rPr>
          <w:rFonts w:ascii="EC Square Sans Pro" w:hAnsi="EC Square Sans Pro"/>
          <w:color w:val="000000" w:themeColor="text1"/>
          <w:sz w:val="20"/>
          <w:szCs w:val="20"/>
        </w:rPr>
        <w:t>In particular, measures</w:t>
      </w:r>
      <w:proofErr w:type="gramEnd"/>
      <w:r w:rsidRPr="00B61C0E">
        <w:rPr>
          <w:rFonts w:ascii="EC Square Sans Pro" w:hAnsi="EC Square Sans Pro"/>
          <w:color w:val="000000" w:themeColor="text1"/>
          <w:sz w:val="20"/>
          <w:szCs w:val="20"/>
        </w:rPr>
        <w:t xml:space="preserve"> to mitigate high risks of corruption </w:t>
      </w:r>
      <w:proofErr w:type="gramStart"/>
      <w:r w:rsidRPr="00B61C0E">
        <w:rPr>
          <w:rFonts w:ascii="EC Square Sans Pro" w:hAnsi="EC Square Sans Pro"/>
          <w:color w:val="000000" w:themeColor="text1"/>
          <w:sz w:val="20"/>
          <w:szCs w:val="20"/>
        </w:rPr>
        <w:t>in the area of</w:t>
      </w:r>
      <w:proofErr w:type="gramEnd"/>
      <w:r w:rsidRPr="00B61C0E">
        <w:rPr>
          <w:rFonts w:ascii="EC Square Sans Pro" w:hAnsi="EC Square Sans Pro"/>
          <w:color w:val="000000" w:themeColor="text1"/>
          <w:sz w:val="20"/>
          <w:szCs w:val="20"/>
        </w:rPr>
        <w:t xml:space="preserve"> public procurement, such as enhancing transparency and oversight (for example through digital technologies) and promoting fair competition and accountability in public procurement (e.g. </w:t>
      </w:r>
      <w:r w:rsidRPr="00B61C0E">
        <w:rPr>
          <w:rFonts w:ascii="EC Square Sans Pro" w:hAnsi="EC Square Sans Pro"/>
          <w:color w:val="000000" w:themeColor="text1"/>
          <w:sz w:val="20"/>
          <w:szCs w:val="20"/>
          <w:lang w:bidi="en-US"/>
        </w:rPr>
        <w:t>targeted actions to address the high share of single bids</w:t>
      </w:r>
      <w:r w:rsidRPr="00B61C0E">
        <w:rPr>
          <w:rFonts w:ascii="EC Square Sans Pro" w:hAnsi="EC Square Sans Pro"/>
          <w:color w:val="000000" w:themeColor="text1"/>
          <w:sz w:val="20"/>
          <w:szCs w:val="20"/>
        </w:rPr>
        <w:t xml:space="preserve">) and measures to guarantee the effective and independent functioning of the public procurement review bodies. </w:t>
      </w:r>
    </w:p>
    <w:p w14:paraId="6D4E51DC"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Measures for the prevention of corruption in relation to the issuing of official permits (e.g. related to environment, energy, service provision and various types of construction)</w:t>
      </w:r>
    </w:p>
    <w:p w14:paraId="70A74ABF" w14:textId="77777777" w:rsidR="00697CAB" w:rsidRPr="00B61C0E" w:rsidRDefault="00697CAB" w:rsidP="00697CAB">
      <w:pPr>
        <w:pStyle w:val="Heading110"/>
        <w:keepNext/>
        <w:keepLines/>
        <w:numPr>
          <w:ilvl w:val="0"/>
          <w:numId w:val="2"/>
        </w:numPr>
        <w:shd w:val="clear" w:color="auto" w:fill="auto"/>
        <w:spacing w:before="120" w:after="0" w:line="240" w:lineRule="auto"/>
        <w:ind w:left="426" w:hanging="426"/>
        <w:rPr>
          <w:rFonts w:ascii="EC Square Sans Pro" w:hAnsi="EC Square Sans Pro"/>
        </w:rPr>
      </w:pPr>
      <w:bookmarkStart w:id="10" w:name="bookmark18"/>
      <w:r w:rsidRPr="00B61C0E">
        <w:rPr>
          <w:rFonts w:ascii="EC Square Sans Pro" w:hAnsi="EC Square Sans Pro"/>
        </w:rPr>
        <w:t>Repressi</w:t>
      </w:r>
      <w:bookmarkEnd w:id="10"/>
      <w:r w:rsidRPr="00B61C0E">
        <w:rPr>
          <w:rFonts w:ascii="EC Square Sans Pro" w:hAnsi="EC Square Sans Pro"/>
        </w:rPr>
        <w:t>on</w:t>
      </w:r>
    </w:p>
    <w:p w14:paraId="5CEB7BE5" w14:textId="77777777" w:rsidR="00697CAB" w:rsidRPr="00B61C0E" w:rsidRDefault="00697CAB" w:rsidP="00697CAB">
      <w:pPr>
        <w:pStyle w:val="Heading110"/>
        <w:keepNext/>
        <w:keepLines/>
        <w:spacing w:before="120" w:after="120"/>
        <w:rPr>
          <w:rFonts w:ascii="EC Square Sans Pro" w:hAnsi="EC Square Sans Pro"/>
          <w:u w:val="single"/>
        </w:rPr>
      </w:pPr>
      <w:r w:rsidRPr="00B61C0E">
        <w:rPr>
          <w:rFonts w:ascii="EC Square Sans Pro" w:hAnsi="EC Square Sans Pro"/>
          <w:b w:val="0"/>
          <w:bCs w:val="0"/>
          <w:u w:val="single"/>
        </w:rPr>
        <w:t xml:space="preserve">Relevant topics to be covered in your contribution include: </w:t>
      </w:r>
    </w:p>
    <w:p w14:paraId="50FCD96E"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lang w:eastAsia="fr-FR" w:bidi="fr-FR"/>
        </w:rPr>
        <w:t xml:space="preserve">The legal framework on the criminalisation and sanctions </w:t>
      </w:r>
      <w:r w:rsidRPr="00B61C0E">
        <w:rPr>
          <w:rFonts w:ascii="EC Square Sans Pro" w:hAnsi="EC Square Sans Pro"/>
        </w:rPr>
        <w:t xml:space="preserve">for corruption and related offences, including foreign bribery </w:t>
      </w:r>
    </w:p>
    <w:p w14:paraId="0F2E379E"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Official data on the number of investigations, prosecutions, final judgments, and the application of sanctions for corruption offences (differentiated by offence if possible)</w:t>
      </w:r>
      <w:r w:rsidRPr="00B61C0E">
        <w:rPr>
          <w:rStyle w:val="Allmrkuseviide"/>
          <w:rFonts w:ascii="EC Square Sans Pro" w:hAnsi="EC Square Sans Pro"/>
        </w:rPr>
        <w:footnoteReference w:id="8"/>
      </w:r>
      <w:r w:rsidRPr="00B61C0E">
        <w:rPr>
          <w:rFonts w:ascii="EC Square Sans Pro" w:hAnsi="EC Square Sans Pro"/>
        </w:rPr>
        <w:t>. Please indicate whether the cases: involve legal persons; are related to the implementation of EU or national funds</w:t>
      </w:r>
      <w:r w:rsidRPr="00B61C0E">
        <w:rPr>
          <w:rStyle w:val="Allmrkuseviide"/>
          <w:rFonts w:ascii="EC Square Sans Pro" w:hAnsi="EC Square Sans Pro"/>
        </w:rPr>
        <w:footnoteReference w:id="9"/>
      </w:r>
      <w:r w:rsidRPr="00B61C0E">
        <w:rPr>
          <w:rFonts w:ascii="EC Square Sans Pro" w:hAnsi="EC Square Sans Pro"/>
        </w:rPr>
        <w:t xml:space="preserve">; involve high level corruption. Please indicate which data is publicly available and how </w:t>
      </w:r>
      <w:proofErr w:type="gramStart"/>
      <w:r w:rsidRPr="00B61C0E">
        <w:rPr>
          <w:rFonts w:ascii="EC Square Sans Pro" w:hAnsi="EC Square Sans Pro"/>
        </w:rPr>
        <w:t>policy-making</w:t>
      </w:r>
      <w:proofErr w:type="gramEnd"/>
      <w:r w:rsidRPr="00B61C0E">
        <w:rPr>
          <w:rFonts w:ascii="EC Square Sans Pro" w:hAnsi="EC Square Sans Pro"/>
        </w:rPr>
        <w:t xml:space="preserve"> is informed by the data. </w:t>
      </w:r>
    </w:p>
    <w:p w14:paraId="7B185607"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 xml:space="preserve">Potential obstacles identified in law or in practice to the investigation and prosecution of high-level and complex corruption cases (e.g. political immunity regulation, procedural rules, statute of limitations, cross-border cooperation, pardoning),  </w:t>
      </w:r>
    </w:p>
    <w:p w14:paraId="6FA93C22"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color w:val="000000" w:themeColor="text1"/>
        </w:rPr>
      </w:pPr>
      <w:r w:rsidRPr="00B61C0E">
        <w:rPr>
          <w:rFonts w:ascii="EC Square Sans Pro" w:hAnsi="EC Square Sans Pro"/>
          <w:color w:val="000000" w:themeColor="text1"/>
        </w:rPr>
        <w:t xml:space="preserve">Information on effectiveness of criminal and non-criminal measures and of sanctions (e.g. </w:t>
      </w:r>
      <w:r w:rsidRPr="00B61C0E">
        <w:rPr>
          <w:rFonts w:ascii="EC Square Sans Pro" w:hAnsi="EC Square Sans Pro"/>
        </w:rPr>
        <w:t>recovery</w:t>
      </w:r>
      <w:r w:rsidRPr="00B61C0E">
        <w:rPr>
          <w:rFonts w:ascii="EC Square Sans Pro" w:hAnsi="EC Square Sans Pro"/>
          <w:color w:val="000000" w:themeColor="text1"/>
        </w:rPr>
        <w:t xml:space="preserve"> measures and administrative sanctions) on both public and private offenders.</w:t>
      </w:r>
    </w:p>
    <w:p w14:paraId="4A74CC47" w14:textId="77777777" w:rsidR="00697CAB" w:rsidRPr="00B61C0E" w:rsidRDefault="00697CAB" w:rsidP="00697CAB">
      <w:pPr>
        <w:pStyle w:val="Bodytext30"/>
        <w:shd w:val="clear" w:color="auto" w:fill="auto"/>
        <w:tabs>
          <w:tab w:val="left" w:pos="1194"/>
        </w:tabs>
        <w:spacing w:before="120" w:after="240" w:line="240" w:lineRule="auto"/>
        <w:ind w:firstLine="0"/>
        <w:jc w:val="both"/>
        <w:rPr>
          <w:rFonts w:ascii="EC Square Sans Pro" w:hAnsi="EC Square Sans Pro"/>
          <w:b/>
        </w:rPr>
      </w:pPr>
      <w:r w:rsidRPr="00B61C0E">
        <w:rPr>
          <w:rFonts w:ascii="EC Square Sans Pro" w:hAnsi="EC Square Sans Pro"/>
          <w:b/>
        </w:rPr>
        <w:t>Other – please specify</w:t>
      </w:r>
    </w:p>
    <w:p w14:paraId="7DCD973B" w14:textId="77777777" w:rsidR="00697CAB" w:rsidRPr="00B61C0E" w:rsidRDefault="00697CAB" w:rsidP="00697CAB">
      <w:pPr>
        <w:pStyle w:val="Heading210"/>
        <w:keepNext/>
        <w:keepLines/>
        <w:numPr>
          <w:ilvl w:val="0"/>
          <w:numId w:val="1"/>
        </w:numPr>
        <w:pBdr>
          <w:top w:val="single" w:sz="4" w:space="1" w:color="auto"/>
          <w:left w:val="single" w:sz="4" w:space="4" w:color="auto"/>
          <w:bottom w:val="single" w:sz="4" w:space="1" w:color="auto"/>
          <w:right w:val="single" w:sz="4" w:space="4" w:color="auto"/>
        </w:pBdr>
        <w:shd w:val="clear" w:color="auto" w:fill="D9F2D0" w:themeFill="accent6" w:themeFillTint="33"/>
        <w:tabs>
          <w:tab w:val="left" w:pos="406"/>
        </w:tabs>
        <w:spacing w:before="120" w:after="0" w:line="240" w:lineRule="auto"/>
        <w:jc w:val="both"/>
        <w:rPr>
          <w:rFonts w:ascii="EC Square Sans Pro" w:hAnsi="EC Square Sans Pro"/>
          <w:lang w:val="en-IE"/>
        </w:rPr>
      </w:pPr>
      <w:bookmarkStart w:id="11" w:name="bookmark21"/>
      <w:r w:rsidRPr="00B61C0E">
        <w:rPr>
          <w:rFonts w:ascii="EC Square Sans Pro" w:hAnsi="EC Square Sans Pro"/>
          <w:lang w:val="en-IE"/>
        </w:rPr>
        <w:t>Media pluralism</w:t>
      </w:r>
      <w:bookmarkEnd w:id="11"/>
      <w:r w:rsidRPr="00B61C0E">
        <w:rPr>
          <w:rFonts w:ascii="EC Square Sans Pro" w:hAnsi="EC Square Sans Pro"/>
          <w:lang w:val="en-IE"/>
        </w:rPr>
        <w:t xml:space="preserve"> and media freedom</w:t>
      </w:r>
    </w:p>
    <w:p w14:paraId="532FB1A9" w14:textId="77777777" w:rsidR="00697CAB" w:rsidRPr="00B61C0E" w:rsidRDefault="00697CAB" w:rsidP="00697CAB">
      <w:pPr>
        <w:pStyle w:val="Heading110"/>
        <w:keepNext/>
        <w:keepLines/>
        <w:numPr>
          <w:ilvl w:val="0"/>
          <w:numId w:val="3"/>
        </w:numPr>
        <w:shd w:val="clear" w:color="auto" w:fill="auto"/>
        <w:spacing w:before="120" w:after="0" w:line="240" w:lineRule="auto"/>
        <w:ind w:left="426" w:hanging="426"/>
        <w:rPr>
          <w:rFonts w:ascii="EC Square Sans Pro" w:hAnsi="EC Square Sans Pro"/>
        </w:rPr>
      </w:pPr>
      <w:bookmarkStart w:id="12" w:name="bookmark23"/>
      <w:r w:rsidRPr="00B61C0E">
        <w:rPr>
          <w:rFonts w:ascii="EC Square Sans Pro" w:hAnsi="EC Square Sans Pro"/>
        </w:rPr>
        <w:t>Media authorities</w:t>
      </w:r>
      <w:bookmarkEnd w:id="12"/>
      <w:r w:rsidRPr="00B61C0E">
        <w:rPr>
          <w:rFonts w:ascii="EC Square Sans Pro" w:hAnsi="EC Square Sans Pro"/>
        </w:rPr>
        <w:t xml:space="preserve"> and bodies</w:t>
      </w:r>
      <w:r w:rsidRPr="00B61C0E">
        <w:rPr>
          <w:rStyle w:val="Allmrkuseviide"/>
          <w:rFonts w:ascii="EC Square Sans Pro" w:hAnsi="EC Square Sans Pro"/>
        </w:rPr>
        <w:footnoteReference w:id="10"/>
      </w:r>
    </w:p>
    <w:p w14:paraId="67BF8AB7" w14:textId="77777777" w:rsidR="00697CAB" w:rsidRPr="00B61C0E" w:rsidRDefault="00697CAB" w:rsidP="00697CAB">
      <w:pPr>
        <w:pStyle w:val="Heading110"/>
        <w:keepNext/>
        <w:keepLines/>
        <w:spacing w:before="120" w:after="120"/>
        <w:rPr>
          <w:rFonts w:ascii="EC Square Sans Pro" w:hAnsi="EC Square Sans Pro"/>
          <w:b w:val="0"/>
          <w:bCs w:val="0"/>
          <w:u w:val="single"/>
        </w:rPr>
      </w:pPr>
      <w:r w:rsidRPr="00B61C0E">
        <w:rPr>
          <w:rFonts w:ascii="EC Square Sans Pro" w:hAnsi="EC Square Sans Pro"/>
          <w:b w:val="0"/>
          <w:bCs w:val="0"/>
          <w:u w:val="single"/>
        </w:rPr>
        <w:t xml:space="preserve">Relevant topics to be covered in your contribution: </w:t>
      </w:r>
    </w:p>
    <w:p w14:paraId="3A398505"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 xml:space="preserve">Measures taken to ensure the independence, enforcement powers and adequacy of </w:t>
      </w:r>
      <w:r w:rsidRPr="00B61C0E">
        <w:rPr>
          <w:rFonts w:ascii="EC Square Sans Pro" w:hAnsi="EC Square Sans Pro"/>
          <w:color w:val="000000" w:themeColor="text1"/>
        </w:rPr>
        <w:t>resources</w:t>
      </w:r>
      <w:r w:rsidRPr="00B61C0E">
        <w:rPr>
          <w:rFonts w:ascii="EC Square Sans Pro" w:hAnsi="EC Square Sans Pro"/>
        </w:rPr>
        <w:t xml:space="preserve"> (financial, human and technical) of media regulatory authorities and bodies.</w:t>
      </w:r>
    </w:p>
    <w:p w14:paraId="4BB0D1EE"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Conditions</w:t>
      </w:r>
      <w:r w:rsidRPr="00B61C0E">
        <w:rPr>
          <w:rFonts w:ascii="EC Square Sans Pro" w:hAnsi="EC Square Sans Pro"/>
          <w:iCs w:val="0"/>
        </w:rPr>
        <w:t xml:space="preserve"> </w:t>
      </w:r>
      <w:r w:rsidRPr="00B61C0E">
        <w:rPr>
          <w:rFonts w:ascii="EC Square Sans Pro" w:hAnsi="EC Square Sans Pro"/>
        </w:rPr>
        <w:t xml:space="preserve">and procedures for the appointment and dismissal of the head </w:t>
      </w:r>
      <w:r w:rsidRPr="00B61C0E">
        <w:rPr>
          <w:rFonts w:ascii="EC Square Sans Pro" w:hAnsi="EC Square Sans Pro"/>
          <w:lang w:eastAsia="bg-BG" w:bidi="bg-BG"/>
        </w:rPr>
        <w:t xml:space="preserve">/ </w:t>
      </w:r>
      <w:r w:rsidRPr="00B61C0E">
        <w:rPr>
          <w:rFonts w:ascii="EC Square Sans Pro" w:hAnsi="EC Square Sans Pro"/>
        </w:rPr>
        <w:t>members of the collegiate body of media regulatory authorities and bodies.</w:t>
      </w:r>
    </w:p>
    <w:p w14:paraId="59726B61"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Existence and functions of media councils or other self-regulatory bodies.</w:t>
      </w:r>
    </w:p>
    <w:p w14:paraId="158E52DD" w14:textId="77777777" w:rsidR="00697CAB" w:rsidRPr="00B61C0E" w:rsidRDefault="00697CAB" w:rsidP="00697CAB">
      <w:pPr>
        <w:pStyle w:val="Heading110"/>
        <w:keepNext/>
        <w:keepLines/>
        <w:numPr>
          <w:ilvl w:val="0"/>
          <w:numId w:val="3"/>
        </w:numPr>
        <w:shd w:val="clear" w:color="auto" w:fill="auto"/>
        <w:spacing w:before="120" w:after="0" w:line="240" w:lineRule="auto"/>
        <w:ind w:left="426" w:hanging="426"/>
        <w:rPr>
          <w:rFonts w:ascii="EC Square Sans Pro" w:hAnsi="EC Square Sans Pro"/>
        </w:rPr>
      </w:pPr>
      <w:bookmarkStart w:id="13" w:name="bookmark24"/>
      <w:r w:rsidRPr="00B61C0E">
        <w:rPr>
          <w:rFonts w:ascii="EC Square Sans Pro" w:hAnsi="EC Square Sans Pro"/>
        </w:rPr>
        <w:lastRenderedPageBreak/>
        <w:t>Safeguards against government or political interference</w:t>
      </w:r>
      <w:bookmarkEnd w:id="13"/>
      <w:r w:rsidRPr="00B61C0E">
        <w:rPr>
          <w:rFonts w:ascii="EC Square Sans Pro" w:hAnsi="EC Square Sans Pro"/>
        </w:rPr>
        <w:t xml:space="preserve"> and transparency and concentration of media ownership</w:t>
      </w:r>
    </w:p>
    <w:p w14:paraId="100DADF9" w14:textId="77777777" w:rsidR="00697CAB" w:rsidRPr="00B61C0E" w:rsidRDefault="00697CAB" w:rsidP="00697CAB">
      <w:pPr>
        <w:pStyle w:val="Heading110"/>
        <w:keepNext/>
        <w:keepLines/>
        <w:spacing w:before="120" w:after="120"/>
        <w:rPr>
          <w:rFonts w:ascii="EC Square Sans Pro" w:hAnsi="EC Square Sans Pro"/>
          <w:b w:val="0"/>
          <w:bCs w:val="0"/>
          <w:u w:val="single"/>
        </w:rPr>
      </w:pPr>
      <w:r w:rsidRPr="00B61C0E">
        <w:rPr>
          <w:rFonts w:ascii="EC Square Sans Pro" w:hAnsi="EC Square Sans Pro"/>
          <w:b w:val="0"/>
          <w:bCs w:val="0"/>
          <w:u w:val="single"/>
        </w:rPr>
        <w:t xml:space="preserve">Relevant topics to be covered in your contribution include: </w:t>
      </w:r>
    </w:p>
    <w:p w14:paraId="77D7DA15"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 xml:space="preserve">Measures taken to ensure the fair and transparent allocation of state advertising </w:t>
      </w:r>
    </w:p>
    <w:p w14:paraId="2ED65369"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Safeguards against state / political interference, in particular:</w:t>
      </w:r>
    </w:p>
    <w:p w14:paraId="6F4ABFAE" w14:textId="77777777" w:rsidR="00697CAB" w:rsidRPr="00B61C0E" w:rsidRDefault="00697CAB" w:rsidP="00697CAB">
      <w:pPr>
        <w:pStyle w:val="Bodytext30"/>
        <w:shd w:val="clear" w:color="auto" w:fill="auto"/>
        <w:tabs>
          <w:tab w:val="left" w:pos="1194"/>
        </w:tabs>
        <w:spacing w:before="120" w:after="0" w:line="240" w:lineRule="auto"/>
        <w:ind w:left="1100" w:firstLine="0"/>
        <w:jc w:val="both"/>
        <w:rPr>
          <w:rFonts w:ascii="EC Square Sans Pro" w:hAnsi="EC Square Sans Pro"/>
        </w:rPr>
      </w:pPr>
      <w:r w:rsidRPr="00B61C0E">
        <w:rPr>
          <w:rFonts w:ascii="EC Square Sans Pro" w:hAnsi="EC Square Sans Pro"/>
        </w:rPr>
        <w:t xml:space="preserve">- safeguards to ensure editorial independence of media (private and public) </w:t>
      </w:r>
    </w:p>
    <w:p w14:paraId="21A85C91" w14:textId="77777777" w:rsidR="00697CAB" w:rsidRPr="00B61C0E" w:rsidRDefault="00697CAB" w:rsidP="00697CAB">
      <w:pPr>
        <w:pStyle w:val="Bodytext30"/>
        <w:shd w:val="clear" w:color="auto" w:fill="auto"/>
        <w:tabs>
          <w:tab w:val="left" w:pos="1194"/>
        </w:tabs>
        <w:spacing w:before="120" w:after="0" w:line="240" w:lineRule="auto"/>
        <w:ind w:left="1100" w:firstLine="0"/>
        <w:jc w:val="both"/>
        <w:rPr>
          <w:rFonts w:ascii="EC Square Sans Pro" w:hAnsi="EC Square Sans Pro"/>
        </w:rPr>
      </w:pPr>
      <w:r w:rsidRPr="00B61C0E">
        <w:rPr>
          <w:rFonts w:ascii="EC Square Sans Pro" w:hAnsi="EC Square Sans Pro"/>
        </w:rPr>
        <w:t xml:space="preserve">- specific safeguards for the independence of heads of management and members of the governing boards of public service media (e.g. related to appointment, dismissal), safeguards for their financial and operational independence (e.g. related to reporting obligations and the allocation of resources) and safeguards for plurality of information and opinions </w:t>
      </w:r>
    </w:p>
    <w:p w14:paraId="52F3DEF2" w14:textId="77777777" w:rsidR="00697CAB" w:rsidRPr="00B61C0E" w:rsidRDefault="00697CAB" w:rsidP="00697CAB">
      <w:pPr>
        <w:pStyle w:val="Bodytext30"/>
        <w:shd w:val="clear" w:color="auto" w:fill="auto"/>
        <w:tabs>
          <w:tab w:val="left" w:pos="1194"/>
        </w:tabs>
        <w:spacing w:before="120" w:after="0" w:line="240" w:lineRule="auto"/>
        <w:ind w:left="1100" w:firstLine="0"/>
        <w:jc w:val="both"/>
        <w:rPr>
          <w:rFonts w:ascii="EC Square Sans Pro" w:hAnsi="EC Square Sans Pro"/>
        </w:rPr>
      </w:pPr>
      <w:r w:rsidRPr="00B61C0E">
        <w:rPr>
          <w:rFonts w:ascii="EC Square Sans Pro" w:hAnsi="EC Square Sans Pro"/>
          <w:i w:val="0"/>
          <w:iCs w:val="0"/>
        </w:rPr>
        <w:t xml:space="preserve">- </w:t>
      </w:r>
      <w:r w:rsidRPr="00B61C0E">
        <w:rPr>
          <w:rFonts w:ascii="EC Square Sans Pro" w:hAnsi="EC Square Sans Pro"/>
        </w:rPr>
        <w:t xml:space="preserve">information on specific legal provisions and procedures applying to media service providers, including as regards granting/renewal/termination of licences, company operation, capital entry requirements, concentration, and corporate governance </w:t>
      </w:r>
    </w:p>
    <w:p w14:paraId="70BCD38F"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color w:val="000000" w:themeColor="text1"/>
        </w:rPr>
        <w:t>Transparency</w:t>
      </w:r>
      <w:r w:rsidRPr="00B61C0E">
        <w:rPr>
          <w:rFonts w:ascii="EC Square Sans Pro" w:hAnsi="EC Square Sans Pro"/>
        </w:rPr>
        <w:t xml:space="preserve"> of media ownership and public availability of media ownership information, including on direct, indirect and beneficial owners </w:t>
      </w:r>
    </w:p>
    <w:p w14:paraId="170D1980" w14:textId="77777777" w:rsidR="00697CAB" w:rsidRPr="00B61C0E" w:rsidRDefault="00697CAB" w:rsidP="00697CAB">
      <w:pPr>
        <w:pStyle w:val="Heading110"/>
        <w:keepNext/>
        <w:keepLines/>
        <w:numPr>
          <w:ilvl w:val="0"/>
          <w:numId w:val="3"/>
        </w:numPr>
        <w:shd w:val="clear" w:color="auto" w:fill="auto"/>
        <w:spacing w:before="120" w:after="0" w:line="240" w:lineRule="auto"/>
        <w:ind w:left="426" w:hanging="426"/>
        <w:rPr>
          <w:rFonts w:ascii="EC Square Sans Pro" w:hAnsi="EC Square Sans Pro"/>
        </w:rPr>
      </w:pPr>
      <w:bookmarkStart w:id="14" w:name="bookmark25"/>
      <w:r w:rsidRPr="00B61C0E">
        <w:rPr>
          <w:rFonts w:ascii="EC Square Sans Pro" w:hAnsi="EC Square Sans Pro"/>
        </w:rPr>
        <w:t>Framework for journalists' protection</w:t>
      </w:r>
      <w:bookmarkEnd w:id="14"/>
      <w:r w:rsidRPr="00B61C0E">
        <w:rPr>
          <w:rFonts w:ascii="EC Square Sans Pro" w:hAnsi="EC Square Sans Pro"/>
        </w:rPr>
        <w:t>, transparency and access to documents</w:t>
      </w:r>
    </w:p>
    <w:p w14:paraId="6C980369" w14:textId="77777777" w:rsidR="00697CAB" w:rsidRPr="00B61C0E" w:rsidRDefault="00697CAB" w:rsidP="00697CAB">
      <w:pPr>
        <w:pStyle w:val="Heading110"/>
        <w:keepNext/>
        <w:keepLines/>
        <w:spacing w:before="120" w:after="120"/>
        <w:rPr>
          <w:rFonts w:ascii="EC Square Sans Pro" w:hAnsi="EC Square Sans Pro"/>
          <w:u w:val="single"/>
        </w:rPr>
      </w:pPr>
      <w:r w:rsidRPr="00B61C0E">
        <w:rPr>
          <w:rFonts w:ascii="EC Square Sans Pro" w:hAnsi="EC Square Sans Pro"/>
          <w:b w:val="0"/>
          <w:bCs w:val="0"/>
          <w:u w:val="single"/>
        </w:rPr>
        <w:t xml:space="preserve">Relevant topics to be covered in your contribution include: </w:t>
      </w:r>
    </w:p>
    <w:p w14:paraId="1EC7D107"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 xml:space="preserve">Rules and practices guaranteeing journalist’s independence and safety, including as regards protection of journalistic sources and communications, referring also, if applicable, to follow-up given to alerts lodged with the Council of Europe’s Platform to promote the protection of journalism and safety of journalists. </w:t>
      </w:r>
    </w:p>
    <w:p w14:paraId="72AAB303"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Law enforcement capacity, including during protests and demonstrations, to ensure journalists’ safety and to investigate attacks on journalists.</w:t>
      </w:r>
    </w:p>
    <w:p w14:paraId="19A26025"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 xml:space="preserve">Access to information and public documents by public at large and journalists (incl. transparency authorities where they exist, procedures, costs/fees, timeframes, administrative/judicial review of decisions, execution of decisions by public authorities, possible obstacles related to the classification of information). </w:t>
      </w:r>
    </w:p>
    <w:p w14:paraId="054F2E35"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 xml:space="preserve">Lawsuits (incl. SLAPPs - strategic lawsuits against public participation) and convictions against journalists (incl. defamation cases) </w:t>
      </w:r>
      <w:bookmarkStart w:id="15" w:name="bookmark26"/>
      <w:r w:rsidRPr="00B61C0E">
        <w:rPr>
          <w:rFonts w:ascii="EC Square Sans Pro" w:hAnsi="EC Square Sans Pro"/>
        </w:rPr>
        <w:t xml:space="preserve">and measures taken to safeguard against manifestly unfounded and abusive lawsuits. </w:t>
      </w:r>
    </w:p>
    <w:p w14:paraId="49AC54A9" w14:textId="77777777" w:rsidR="00697CAB" w:rsidRPr="00B61C0E" w:rsidRDefault="00697CAB" w:rsidP="00697CAB">
      <w:pPr>
        <w:pStyle w:val="Bodytext30"/>
        <w:shd w:val="clear" w:color="auto" w:fill="auto"/>
        <w:tabs>
          <w:tab w:val="left" w:pos="1194"/>
        </w:tabs>
        <w:spacing w:before="120" w:after="240" w:line="240" w:lineRule="auto"/>
        <w:ind w:firstLine="0"/>
        <w:jc w:val="both"/>
        <w:rPr>
          <w:rFonts w:ascii="EC Square Sans Pro" w:hAnsi="EC Square Sans Pro"/>
          <w:b/>
        </w:rPr>
      </w:pPr>
      <w:r w:rsidRPr="00B61C0E">
        <w:rPr>
          <w:rFonts w:ascii="EC Square Sans Pro" w:hAnsi="EC Square Sans Pro"/>
          <w:b/>
        </w:rPr>
        <w:t>Other – please specify</w:t>
      </w:r>
      <w:bookmarkEnd w:id="15"/>
    </w:p>
    <w:p w14:paraId="7338B414" w14:textId="77777777" w:rsidR="00697CAB" w:rsidRPr="00B61C0E" w:rsidRDefault="00697CAB" w:rsidP="00697CAB">
      <w:pPr>
        <w:pStyle w:val="Heading210"/>
        <w:keepNext/>
        <w:keepLines/>
        <w:numPr>
          <w:ilvl w:val="0"/>
          <w:numId w:val="1"/>
        </w:numPr>
        <w:pBdr>
          <w:top w:val="single" w:sz="4" w:space="1" w:color="auto"/>
          <w:left w:val="single" w:sz="4" w:space="4" w:color="auto"/>
          <w:bottom w:val="single" w:sz="4" w:space="1" w:color="auto"/>
          <w:right w:val="single" w:sz="4" w:space="4" w:color="auto"/>
        </w:pBdr>
        <w:shd w:val="clear" w:color="auto" w:fill="D9F2D0" w:themeFill="accent6" w:themeFillTint="33"/>
        <w:spacing w:before="120" w:after="0" w:line="240" w:lineRule="auto"/>
        <w:jc w:val="both"/>
        <w:rPr>
          <w:rFonts w:ascii="EC Square Sans Pro" w:hAnsi="EC Square Sans Pro"/>
          <w:lang w:val="en-IE"/>
        </w:rPr>
      </w:pPr>
      <w:bookmarkStart w:id="16" w:name="bookmark27"/>
      <w:r w:rsidRPr="00B61C0E">
        <w:rPr>
          <w:rFonts w:ascii="EC Square Sans Pro" w:hAnsi="EC Square Sans Pro"/>
          <w:lang w:val="en-IE"/>
        </w:rPr>
        <w:t>Other institutional issues related to checks and balances</w:t>
      </w:r>
      <w:r w:rsidRPr="00B61C0E" w:rsidDel="00F52A7E">
        <w:rPr>
          <w:rFonts w:ascii="EC Square Sans Pro" w:hAnsi="EC Square Sans Pro"/>
          <w:lang w:val="en-IE"/>
        </w:rPr>
        <w:t xml:space="preserve"> </w:t>
      </w:r>
      <w:bookmarkEnd w:id="16"/>
    </w:p>
    <w:p w14:paraId="6161578D" w14:textId="4202BCF2" w:rsidR="00697CAB" w:rsidRPr="00B61C0E" w:rsidRDefault="00697CAB" w:rsidP="00697CAB">
      <w:pPr>
        <w:pStyle w:val="Heading110"/>
        <w:keepNext/>
        <w:keepLines/>
        <w:numPr>
          <w:ilvl w:val="0"/>
          <w:numId w:val="4"/>
        </w:numPr>
        <w:shd w:val="clear" w:color="auto" w:fill="auto"/>
        <w:spacing w:before="120" w:after="0" w:line="240" w:lineRule="auto"/>
        <w:ind w:left="426" w:hanging="426"/>
        <w:rPr>
          <w:rFonts w:ascii="EC Square Sans Pro" w:hAnsi="EC Square Sans Pro"/>
        </w:rPr>
      </w:pPr>
      <w:bookmarkStart w:id="17" w:name="bookmark29"/>
      <w:r w:rsidRPr="00B61C0E">
        <w:rPr>
          <w:rFonts w:ascii="EC Square Sans Pro" w:hAnsi="EC Square Sans Pro"/>
        </w:rPr>
        <w:t xml:space="preserve">The process for preparing, enacting and implementing </w:t>
      </w:r>
      <w:bookmarkEnd w:id="17"/>
      <w:r w:rsidRPr="00B61C0E">
        <w:rPr>
          <w:rFonts w:ascii="EC Square Sans Pro" w:hAnsi="EC Square Sans Pro"/>
        </w:rPr>
        <w:t>laws</w:t>
      </w:r>
    </w:p>
    <w:p w14:paraId="6E68B8D3" w14:textId="77777777" w:rsidR="00697CAB" w:rsidRPr="00B61C0E" w:rsidRDefault="00697CAB" w:rsidP="00697CAB">
      <w:pPr>
        <w:pStyle w:val="Heading110"/>
        <w:keepNext/>
        <w:keepLines/>
        <w:spacing w:before="120" w:after="120"/>
        <w:rPr>
          <w:rFonts w:ascii="EC Square Sans Pro" w:hAnsi="EC Square Sans Pro"/>
          <w:b w:val="0"/>
          <w:bCs w:val="0"/>
          <w:u w:val="single"/>
        </w:rPr>
      </w:pPr>
      <w:r w:rsidRPr="00B61C0E">
        <w:rPr>
          <w:rFonts w:ascii="EC Square Sans Pro" w:hAnsi="EC Square Sans Pro"/>
          <w:b w:val="0"/>
          <w:bCs w:val="0"/>
          <w:u w:val="single"/>
        </w:rPr>
        <w:t xml:space="preserve">Relevant topics to be covered in your contribution include: </w:t>
      </w:r>
    </w:p>
    <w:p w14:paraId="4287797A" w14:textId="665A3896"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 xml:space="preserve">Framework, policy and use of impact assessments and evidence based </w:t>
      </w:r>
      <w:proofErr w:type="gramStart"/>
      <w:r w:rsidRPr="00B61C0E">
        <w:rPr>
          <w:rFonts w:ascii="EC Square Sans Pro" w:hAnsi="EC Square Sans Pro"/>
        </w:rPr>
        <w:t>policy-making</w:t>
      </w:r>
      <w:proofErr w:type="gramEnd"/>
      <w:r w:rsidRPr="00B61C0E">
        <w:rPr>
          <w:rFonts w:ascii="EC Square Sans Pro" w:hAnsi="EC Square Sans Pro"/>
        </w:rPr>
        <w:t>, stakeholders'</w:t>
      </w:r>
      <w:r w:rsidRPr="00B61C0E">
        <w:rPr>
          <w:rStyle w:val="Allmrkuseviide"/>
          <w:rFonts w:ascii="EC Square Sans Pro" w:hAnsi="EC Square Sans Pro"/>
        </w:rPr>
        <w:footnoteReference w:id="11"/>
      </w:r>
      <w:r w:rsidRPr="00B61C0E">
        <w:rPr>
          <w:rFonts w:ascii="EC Square Sans Pro" w:hAnsi="EC Square Sans Pro"/>
        </w:rPr>
        <w:t>/public consultations (including rules and practices on the transparent participation of civil society to policy development and decision-making processes, and transparency and quality of the legislative process in the preparatory, the parliamentary and implementation phase (including guidance on how to implement legislation).</w:t>
      </w:r>
    </w:p>
    <w:p w14:paraId="624C1CDA"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lastRenderedPageBreak/>
        <w:t>Rules and use of fast-track procedures and emergency procedures (for example, the percentage of decisions adopted through emergency/urgent procedure compared to the total number of adopted decisions)</w:t>
      </w:r>
    </w:p>
    <w:p w14:paraId="1CFBC7BD"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Safeguards to ensure legal certainty, the stability of the legal framework and non-discrimination.</w:t>
      </w:r>
    </w:p>
    <w:p w14:paraId="022A70C2"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 xml:space="preserve">Rules and application of states of emergency (or analogous regimes), including judicial review and parliamentary oversight.  </w:t>
      </w:r>
    </w:p>
    <w:p w14:paraId="313486D0" w14:textId="77777777" w:rsidR="00697CAB" w:rsidRPr="00B61C0E" w:rsidRDefault="00697CAB" w:rsidP="00697CAB">
      <w:pPr>
        <w:pStyle w:val="Bodytext30"/>
        <w:numPr>
          <w:ilvl w:val="0"/>
          <w:numId w:val="5"/>
        </w:numPr>
        <w:shd w:val="clear" w:color="auto" w:fill="auto"/>
        <w:tabs>
          <w:tab w:val="left" w:pos="1170"/>
        </w:tabs>
        <w:spacing w:before="120" w:line="240" w:lineRule="auto"/>
        <w:jc w:val="both"/>
        <w:rPr>
          <w:rFonts w:ascii="EC Square Sans Pro" w:hAnsi="EC Square Sans Pro"/>
        </w:rPr>
      </w:pPr>
      <w:r w:rsidRPr="00B61C0E">
        <w:rPr>
          <w:rFonts w:ascii="EC Square Sans Pro" w:hAnsi="EC Square Sans Pro"/>
        </w:rPr>
        <w:t>Regime for constitutional review of laws</w:t>
      </w:r>
    </w:p>
    <w:p w14:paraId="4724A637" w14:textId="77777777" w:rsidR="00697CAB" w:rsidRPr="00B61C0E" w:rsidRDefault="00697CAB" w:rsidP="00697CAB">
      <w:pPr>
        <w:pStyle w:val="Heading110"/>
        <w:keepNext/>
        <w:keepLines/>
        <w:numPr>
          <w:ilvl w:val="0"/>
          <w:numId w:val="4"/>
        </w:numPr>
        <w:shd w:val="clear" w:color="auto" w:fill="auto"/>
        <w:spacing w:before="120" w:after="0" w:line="240" w:lineRule="auto"/>
        <w:ind w:left="426" w:hanging="426"/>
        <w:rPr>
          <w:rFonts w:ascii="EC Square Sans Pro" w:hAnsi="EC Square Sans Pro"/>
        </w:rPr>
      </w:pPr>
      <w:r w:rsidRPr="00B61C0E">
        <w:rPr>
          <w:rFonts w:ascii="EC Square Sans Pro" w:hAnsi="EC Square Sans Pro"/>
        </w:rPr>
        <w:t xml:space="preserve">Independent authorities </w:t>
      </w:r>
    </w:p>
    <w:p w14:paraId="640975DA" w14:textId="77777777" w:rsidR="00697CAB" w:rsidRPr="00B61C0E" w:rsidRDefault="00697CAB" w:rsidP="00697CAB">
      <w:pPr>
        <w:pStyle w:val="Heading110"/>
        <w:keepNext/>
        <w:keepLines/>
        <w:spacing w:before="120" w:after="120"/>
        <w:rPr>
          <w:rFonts w:ascii="EC Square Sans Pro" w:hAnsi="EC Square Sans Pro"/>
          <w:b w:val="0"/>
          <w:bCs w:val="0"/>
          <w:u w:val="single"/>
        </w:rPr>
      </w:pPr>
      <w:r w:rsidRPr="00B61C0E">
        <w:rPr>
          <w:rFonts w:ascii="EC Square Sans Pro" w:hAnsi="EC Square Sans Pro"/>
          <w:b w:val="0"/>
          <w:bCs w:val="0"/>
          <w:u w:val="single"/>
        </w:rPr>
        <w:t xml:space="preserve">Relevant topics to be covered in your contribution include: </w:t>
      </w:r>
    </w:p>
    <w:p w14:paraId="59FB1F49" w14:textId="31191FBC" w:rsidR="00697CAB" w:rsidRPr="00B61C0E" w:rsidRDefault="00697CAB" w:rsidP="00697CAB">
      <w:pPr>
        <w:pStyle w:val="Bodytext30"/>
        <w:numPr>
          <w:ilvl w:val="0"/>
          <w:numId w:val="5"/>
        </w:numPr>
        <w:shd w:val="clear" w:color="auto" w:fill="auto"/>
        <w:tabs>
          <w:tab w:val="left" w:pos="1170"/>
        </w:tabs>
        <w:spacing w:before="120" w:after="0" w:line="240" w:lineRule="auto"/>
        <w:jc w:val="both"/>
        <w:rPr>
          <w:rFonts w:ascii="EC Square Sans Pro" w:hAnsi="EC Square Sans Pro"/>
        </w:rPr>
      </w:pPr>
      <w:r w:rsidRPr="00B61C0E">
        <w:rPr>
          <w:rFonts w:ascii="EC Square Sans Pro" w:hAnsi="EC Square Sans Pro"/>
        </w:rPr>
        <w:t>Independence, resources, capacity and powers (including effective access to relevant data) of national human rights institutions (‘NHRIs’), of ombudsman institutions if different from NHRIs, of equality bodies if different from NHRIs and of supreme audit institutions</w:t>
      </w:r>
      <w:r w:rsidRPr="00B61C0E">
        <w:rPr>
          <w:rStyle w:val="Allmrkuseviide"/>
          <w:rFonts w:ascii="EC Square Sans Pro" w:hAnsi="EC Square Sans Pro"/>
        </w:rPr>
        <w:footnoteReference w:id="12"/>
      </w:r>
      <w:r w:rsidRPr="00B61C0E">
        <w:rPr>
          <w:rFonts w:ascii="EC Square Sans Pro" w:hAnsi="EC Square Sans Pro"/>
        </w:rPr>
        <w:t xml:space="preserve"> </w:t>
      </w:r>
    </w:p>
    <w:p w14:paraId="11EC0D5D" w14:textId="611A2CB8" w:rsidR="00697CAB" w:rsidRPr="00B61C0E" w:rsidRDefault="00697CAB" w:rsidP="00697CAB">
      <w:pPr>
        <w:pStyle w:val="Bodytext30"/>
        <w:numPr>
          <w:ilvl w:val="0"/>
          <w:numId w:val="5"/>
        </w:numPr>
        <w:shd w:val="clear" w:color="auto" w:fill="auto"/>
        <w:tabs>
          <w:tab w:val="left" w:pos="1170"/>
        </w:tabs>
        <w:spacing w:before="120" w:line="240" w:lineRule="auto"/>
        <w:jc w:val="both"/>
        <w:rPr>
          <w:rFonts w:ascii="EC Square Sans Pro" w:hAnsi="EC Square Sans Pro"/>
        </w:rPr>
      </w:pPr>
      <w:r w:rsidRPr="00B61C0E">
        <w:rPr>
          <w:rFonts w:ascii="EC Square Sans Pro" w:hAnsi="EC Square Sans Pro"/>
        </w:rPr>
        <w:t xml:space="preserve">Statistics/reports concerning the follow-up to recommendations by National Human Rights Institutions, ombudsman institutions, equality bodies, and supreme audit institutions in the past year. </w:t>
      </w:r>
    </w:p>
    <w:p w14:paraId="27C95418" w14:textId="77777777" w:rsidR="00697CAB" w:rsidRPr="00B61C0E" w:rsidRDefault="00697CAB" w:rsidP="00697CAB">
      <w:pPr>
        <w:pStyle w:val="Loendilik"/>
        <w:widowControl w:val="0"/>
        <w:numPr>
          <w:ilvl w:val="0"/>
          <w:numId w:val="5"/>
        </w:numPr>
        <w:spacing w:after="0" w:line="240" w:lineRule="auto"/>
        <w:jc w:val="both"/>
        <w:rPr>
          <w:rFonts w:ascii="EC Square Sans Pro" w:eastAsia="Calibri" w:hAnsi="EC Square Sans Pro" w:cs="Calibri"/>
          <w:i/>
          <w:iCs/>
        </w:rPr>
      </w:pPr>
      <w:r w:rsidRPr="00B61C0E">
        <w:rPr>
          <w:rFonts w:ascii="EC Square Sans Pro" w:eastAsia="Calibri" w:hAnsi="EC Square Sans Pro" w:cs="Calibri"/>
          <w:i/>
          <w:iCs/>
        </w:rPr>
        <w:t xml:space="preserve">Safeguards to ensure the effective independence of supervisory and regulatory authorities with a direct impact on economic operators such as national economic oversight, enforcement and competition authorities, </w:t>
      </w:r>
    </w:p>
    <w:p w14:paraId="71ABF61B" w14:textId="77777777" w:rsidR="00697CAB" w:rsidRPr="00B61C0E" w:rsidRDefault="00697CAB" w:rsidP="00697CAB">
      <w:pPr>
        <w:pStyle w:val="Heading110"/>
        <w:keepNext/>
        <w:keepLines/>
        <w:numPr>
          <w:ilvl w:val="0"/>
          <w:numId w:val="4"/>
        </w:numPr>
        <w:shd w:val="clear" w:color="auto" w:fill="auto"/>
        <w:spacing w:before="120" w:after="0" w:line="240" w:lineRule="auto"/>
        <w:ind w:left="426" w:hanging="426"/>
        <w:rPr>
          <w:rFonts w:ascii="EC Square Sans Pro" w:hAnsi="EC Square Sans Pro"/>
        </w:rPr>
      </w:pPr>
      <w:r w:rsidRPr="00B61C0E">
        <w:rPr>
          <w:rFonts w:ascii="EC Square Sans Pro" w:hAnsi="EC Square Sans Pro"/>
        </w:rPr>
        <w:t xml:space="preserve">Accessibility and judicial review of administrative decisions </w:t>
      </w:r>
    </w:p>
    <w:p w14:paraId="6D0D5E65" w14:textId="77777777" w:rsidR="00697CAB" w:rsidRPr="00B61C0E" w:rsidRDefault="00697CAB" w:rsidP="00697CAB">
      <w:pPr>
        <w:pStyle w:val="Heading110"/>
        <w:keepNext/>
        <w:keepLines/>
        <w:spacing w:before="120" w:after="120"/>
        <w:rPr>
          <w:rFonts w:ascii="EC Square Sans Pro" w:hAnsi="EC Square Sans Pro"/>
          <w:b w:val="0"/>
          <w:bCs w:val="0"/>
          <w:u w:val="single"/>
        </w:rPr>
      </w:pPr>
      <w:r w:rsidRPr="00B61C0E">
        <w:rPr>
          <w:rFonts w:ascii="EC Square Sans Pro" w:hAnsi="EC Square Sans Pro"/>
          <w:b w:val="0"/>
          <w:bCs w:val="0"/>
          <w:u w:val="single"/>
        </w:rPr>
        <w:t xml:space="preserve">Relevant topics to be covered in your contribution include: </w:t>
      </w:r>
    </w:p>
    <w:p w14:paraId="34EB3ACF" w14:textId="0B5C529E"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 xml:space="preserve">Transparency of administrative decisions and sanctions (incl. their publication and rules on collection of related data) and respect of the good administration principle (including the obligation of the administration to give reasons for decisions) </w:t>
      </w:r>
    </w:p>
    <w:p w14:paraId="3F3BE340"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Judicial review of administrative decisions: short description of the general regime (</w:t>
      </w:r>
      <w:proofErr w:type="gramStart"/>
      <w:r w:rsidRPr="00B61C0E">
        <w:rPr>
          <w:rFonts w:ascii="EC Square Sans Pro" w:hAnsi="EC Square Sans Pro"/>
        </w:rPr>
        <w:t>in particular competent</w:t>
      </w:r>
      <w:proofErr w:type="gramEnd"/>
      <w:r w:rsidRPr="00B61C0E">
        <w:rPr>
          <w:rFonts w:ascii="EC Square Sans Pro" w:hAnsi="EC Square Sans Pro"/>
        </w:rPr>
        <w:t xml:space="preserve"> court, scope, suspensive effect, interim measures, and any applicable specific rules or derogations from the general regime of judicial review).</w:t>
      </w:r>
    </w:p>
    <w:p w14:paraId="7789F619"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Safeguards (other than judicial review) regarding decisions or inaction of administrative authorities, including remedies (e.g. administrative review)</w:t>
      </w:r>
    </w:p>
    <w:p w14:paraId="02B313D9"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Rules and practices related to the application by all courts, including constitutional jurisdictions, of the preliminary ruling procedure (Art. 267 TFEU)</w:t>
      </w:r>
    </w:p>
    <w:p w14:paraId="2B0D1B90"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 xml:space="preserve">Implementation of final judgments by the public administration and State institutions and follow-up given to supranational judgments, including decisions from the European Court of Human Rights, as well as available remedies in case of non-implementation </w:t>
      </w:r>
    </w:p>
    <w:p w14:paraId="30E731D7" w14:textId="69D84ACE"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t xml:space="preserve">Oversight, including by courts, of the use of </w:t>
      </w:r>
      <w:r w:rsidR="0058015F" w:rsidRPr="00B61C0E">
        <w:rPr>
          <w:rFonts w:ascii="EC Square Sans Pro" w:hAnsi="EC Square Sans Pro"/>
        </w:rPr>
        <w:t>intrusive</w:t>
      </w:r>
      <w:r w:rsidRPr="00B61C0E">
        <w:rPr>
          <w:rFonts w:ascii="EC Square Sans Pro" w:hAnsi="EC Square Sans Pro"/>
        </w:rPr>
        <w:t xml:space="preserve"> surveillance software by national authorities</w:t>
      </w:r>
    </w:p>
    <w:p w14:paraId="306FDD5F" w14:textId="77777777" w:rsidR="00697CAB" w:rsidRPr="00B61C0E" w:rsidRDefault="00697CAB" w:rsidP="00697CAB">
      <w:pPr>
        <w:pStyle w:val="Heading110"/>
        <w:keepNext/>
        <w:keepLines/>
        <w:numPr>
          <w:ilvl w:val="0"/>
          <w:numId w:val="4"/>
        </w:numPr>
        <w:shd w:val="clear" w:color="auto" w:fill="auto"/>
        <w:spacing w:before="120" w:after="0" w:line="240" w:lineRule="auto"/>
        <w:ind w:left="426" w:hanging="426"/>
        <w:rPr>
          <w:rFonts w:ascii="EC Square Sans Pro" w:hAnsi="EC Square Sans Pro"/>
        </w:rPr>
      </w:pPr>
      <w:bookmarkStart w:id="18" w:name="bookmark30"/>
      <w:r w:rsidRPr="00B61C0E">
        <w:rPr>
          <w:rFonts w:ascii="EC Square Sans Pro" w:hAnsi="EC Square Sans Pro"/>
          <w:lang w:eastAsia="nl-NL" w:bidi="nl-NL"/>
        </w:rPr>
        <w:t xml:space="preserve">The </w:t>
      </w:r>
      <w:r w:rsidRPr="00B61C0E">
        <w:rPr>
          <w:rFonts w:ascii="EC Square Sans Pro" w:hAnsi="EC Square Sans Pro"/>
        </w:rPr>
        <w:t xml:space="preserve">enabling framework </w:t>
      </w:r>
      <w:r w:rsidRPr="00B61C0E">
        <w:rPr>
          <w:rFonts w:ascii="EC Square Sans Pro" w:hAnsi="EC Square Sans Pro"/>
          <w:lang w:eastAsia="da-DK" w:bidi="da-DK"/>
        </w:rPr>
        <w:t xml:space="preserve">for </w:t>
      </w:r>
      <w:r w:rsidRPr="00B61C0E">
        <w:rPr>
          <w:rFonts w:ascii="EC Square Sans Pro" w:hAnsi="EC Square Sans Pro"/>
        </w:rPr>
        <w:t>civil society</w:t>
      </w:r>
      <w:bookmarkEnd w:id="18"/>
    </w:p>
    <w:p w14:paraId="4E8C5E4D" w14:textId="77777777" w:rsidR="00697CAB" w:rsidRPr="00B61C0E" w:rsidRDefault="00697CAB" w:rsidP="00697CAB">
      <w:pPr>
        <w:pStyle w:val="Heading110"/>
        <w:keepNext/>
        <w:keepLines/>
        <w:spacing w:before="120" w:after="120"/>
        <w:rPr>
          <w:rFonts w:ascii="EC Square Sans Pro" w:hAnsi="EC Square Sans Pro"/>
          <w:b w:val="0"/>
          <w:bCs w:val="0"/>
          <w:u w:val="single"/>
        </w:rPr>
      </w:pPr>
      <w:r w:rsidRPr="00B61C0E">
        <w:rPr>
          <w:rFonts w:ascii="EC Square Sans Pro" w:hAnsi="EC Square Sans Pro"/>
          <w:b w:val="0"/>
          <w:bCs w:val="0"/>
          <w:u w:val="single"/>
        </w:rPr>
        <w:t xml:space="preserve">Relevant topics to be covered in your contribution include: </w:t>
      </w:r>
    </w:p>
    <w:p w14:paraId="7A0A932D"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bookmarkStart w:id="19" w:name="_Hlk113373915"/>
      <w:r w:rsidRPr="00B61C0E">
        <w:rPr>
          <w:rFonts w:ascii="EC Square Sans Pro" w:hAnsi="EC Square Sans Pro"/>
        </w:rPr>
        <w:t xml:space="preserve">Measures regarding </w:t>
      </w:r>
      <w:r w:rsidRPr="00B61C0E">
        <w:rPr>
          <w:rFonts w:ascii="EC Square Sans Pro" w:hAnsi="EC Square Sans Pro"/>
          <w:lang w:eastAsia="nl-NL" w:bidi="nl-NL"/>
        </w:rPr>
        <w:t xml:space="preserve">the </w:t>
      </w:r>
      <w:r w:rsidRPr="00B61C0E">
        <w:rPr>
          <w:rFonts w:ascii="EC Square Sans Pro" w:hAnsi="EC Square Sans Pro"/>
        </w:rPr>
        <w:t>framework for civil society organisations and human rights defenders (e.g. legal framework and its application in practice incl. registration, transparency and dissolution rules)</w:t>
      </w:r>
    </w:p>
    <w:p w14:paraId="02BD1213" w14:textId="77777777" w:rsidR="00697CAB" w:rsidRPr="00B61C0E" w:rsidRDefault="00697CAB" w:rsidP="00697CAB">
      <w:pPr>
        <w:pStyle w:val="Bodytext30"/>
        <w:numPr>
          <w:ilvl w:val="0"/>
          <w:numId w:val="5"/>
        </w:numPr>
        <w:shd w:val="clear" w:color="auto" w:fill="auto"/>
        <w:tabs>
          <w:tab w:val="left" w:pos="1194"/>
        </w:tabs>
        <w:spacing w:before="120" w:after="0" w:line="240" w:lineRule="auto"/>
        <w:jc w:val="both"/>
        <w:rPr>
          <w:rFonts w:ascii="EC Square Sans Pro" w:hAnsi="EC Square Sans Pro"/>
        </w:rPr>
      </w:pPr>
      <w:r w:rsidRPr="00B61C0E">
        <w:rPr>
          <w:rFonts w:ascii="EC Square Sans Pro" w:hAnsi="EC Square Sans Pro"/>
        </w:rPr>
        <w:lastRenderedPageBreak/>
        <w:t>Rules and practices having an impact on the effective operation and safety of civil society organisations and human rights defenders. This includes measures to protect them from attacks – verbal, physical or on-line –, intimidation,</w:t>
      </w:r>
      <w:r w:rsidRPr="00B61C0E">
        <w:t> </w:t>
      </w:r>
      <w:r w:rsidRPr="00B61C0E">
        <w:rPr>
          <w:rFonts w:ascii="EC Square Sans Pro" w:hAnsi="EC Square Sans Pro"/>
        </w:rPr>
        <w:t xml:space="preserve">legal threats incl. SLAPPs, negative narratives or smear campaigns, measures capable of affecting the public perception of civil society organisations, etc. It also includes measures to monitor threats or attacks and dedicated support services, as well as available remedies. </w:t>
      </w:r>
    </w:p>
    <w:p w14:paraId="2A6B0599" w14:textId="77777777" w:rsidR="00697CAB" w:rsidRPr="00B61C0E" w:rsidRDefault="00697CAB" w:rsidP="00697CAB">
      <w:pPr>
        <w:pStyle w:val="Bodytext30"/>
        <w:numPr>
          <w:ilvl w:val="0"/>
          <w:numId w:val="5"/>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Organisation of financial support for civil society organisations and human rights defenders (e.g. framework to ensure access to funding, and for financial viability, taxation/incentive/donation systems, measures to ensure a fair distribution of funding)</w:t>
      </w:r>
    </w:p>
    <w:bookmarkEnd w:id="19"/>
    <w:p w14:paraId="66C275E1" w14:textId="77777777" w:rsidR="00697CAB" w:rsidRPr="00B61C0E" w:rsidRDefault="00697CAB" w:rsidP="00697CAB">
      <w:pPr>
        <w:pStyle w:val="Heading110"/>
        <w:keepNext/>
        <w:keepLines/>
        <w:numPr>
          <w:ilvl w:val="0"/>
          <w:numId w:val="4"/>
        </w:numPr>
        <w:shd w:val="clear" w:color="auto" w:fill="auto"/>
        <w:spacing w:before="120" w:after="0" w:line="240" w:lineRule="auto"/>
        <w:ind w:left="426" w:hanging="426"/>
        <w:rPr>
          <w:rFonts w:ascii="EC Square Sans Pro" w:hAnsi="EC Square Sans Pro"/>
        </w:rPr>
      </w:pPr>
      <w:r w:rsidRPr="00B61C0E">
        <w:rPr>
          <w:rFonts w:ascii="EC Square Sans Pro" w:hAnsi="EC Square Sans Pro"/>
        </w:rPr>
        <w:t xml:space="preserve">Initiatives to foster a rule of law culture </w:t>
      </w:r>
    </w:p>
    <w:p w14:paraId="4139FD41" w14:textId="7FED864F" w:rsidR="00AA441E" w:rsidRPr="00B61C0E" w:rsidRDefault="00697CAB" w:rsidP="009506D0">
      <w:pPr>
        <w:pStyle w:val="Bodytext30"/>
        <w:tabs>
          <w:tab w:val="left" w:pos="1194"/>
        </w:tabs>
        <w:spacing w:before="120"/>
        <w:ind w:firstLine="0"/>
        <w:jc w:val="both"/>
        <w:rPr>
          <w:rFonts w:ascii="EC Square Sans Pro" w:hAnsi="EC Square Sans Pro"/>
        </w:rPr>
      </w:pPr>
      <w:r w:rsidRPr="00B61C0E">
        <w:rPr>
          <w:rFonts w:ascii="EC Square Sans Pro" w:eastAsia="MS Gothic" w:hAnsi="EC Square Sans Pro"/>
        </w:rPr>
        <w:t>This can include developments</w:t>
      </w:r>
      <w:r w:rsidRPr="00B61C0E">
        <w:rPr>
          <w:rFonts w:ascii="EC Square Sans Pro" w:hAnsi="EC Square Sans Pro"/>
        </w:rPr>
        <w:t xml:space="preserve"> related to initiatives to foster a rule of law culture, please specify which, (e.g. debates in national parliaments on the rule of law, public information campaigns on rule of law issues, contributions from civil society, education initiatives, etc.): …</w:t>
      </w:r>
    </w:p>
    <w:p w14:paraId="5E1724AB" w14:textId="7CE9D0CB" w:rsidR="00697CAB" w:rsidRPr="00B61C0E" w:rsidRDefault="00697CAB" w:rsidP="00697CAB">
      <w:pPr>
        <w:pStyle w:val="Bodytext30"/>
        <w:shd w:val="clear" w:color="auto" w:fill="auto"/>
        <w:tabs>
          <w:tab w:val="left" w:pos="1190"/>
        </w:tabs>
        <w:spacing w:before="120" w:after="0" w:line="240" w:lineRule="auto"/>
        <w:ind w:firstLine="0"/>
        <w:jc w:val="both"/>
        <w:rPr>
          <w:rFonts w:ascii="EC Square Sans Pro" w:hAnsi="EC Square Sans Pro"/>
          <w:b/>
        </w:rPr>
      </w:pPr>
      <w:r w:rsidRPr="00B61C0E">
        <w:rPr>
          <w:rFonts w:ascii="EC Square Sans Pro" w:hAnsi="EC Square Sans Pro"/>
          <w:b/>
        </w:rPr>
        <w:t>Other – please specify</w:t>
      </w:r>
    </w:p>
    <w:p w14:paraId="20170AA1" w14:textId="77777777" w:rsidR="0002481E" w:rsidRDefault="0002481E" w:rsidP="0002481E">
      <w:pPr>
        <w:pStyle w:val="Heading210"/>
        <w:keepNext/>
        <w:keepLines/>
        <w:shd w:val="clear" w:color="auto" w:fill="auto"/>
        <w:spacing w:before="120" w:after="0" w:line="240" w:lineRule="auto"/>
        <w:jc w:val="both"/>
        <w:rPr>
          <w:rFonts w:ascii="EC Square Sans Pro" w:hAnsi="EC Square Sans Pro"/>
          <w:lang w:val="en-IE"/>
        </w:rPr>
      </w:pPr>
    </w:p>
    <w:p w14:paraId="7DFF1DA7" w14:textId="77777777" w:rsidR="002B2AE4" w:rsidRPr="002B2AE4" w:rsidRDefault="00875E0F" w:rsidP="00697CAB">
      <w:pPr>
        <w:pStyle w:val="Bodytext30"/>
        <w:shd w:val="clear" w:color="auto" w:fill="auto"/>
        <w:tabs>
          <w:tab w:val="left" w:pos="1190"/>
        </w:tabs>
        <w:spacing w:before="120" w:after="0" w:line="240" w:lineRule="auto"/>
        <w:ind w:firstLine="0"/>
        <w:jc w:val="both"/>
        <w:rPr>
          <w:rFonts w:ascii="EC Square Sans Pro" w:hAnsi="EC Square Sans Pro"/>
          <w:b/>
          <w:bCs/>
          <w:i w:val="0"/>
          <w:iCs w:val="0"/>
        </w:rPr>
      </w:pPr>
      <w:r w:rsidRPr="002B2AE4">
        <w:rPr>
          <w:rFonts w:ascii="EC Square Sans Pro" w:hAnsi="EC Square Sans Pro"/>
          <w:b/>
          <w:bCs/>
          <w:i w:val="0"/>
          <w:iCs w:val="0"/>
        </w:rPr>
        <w:t>Cross-pillar elements: cross-border rule of law issues related to the Single Market</w:t>
      </w:r>
      <w:r w:rsidR="00AF41E6" w:rsidRPr="002B2AE4">
        <w:rPr>
          <w:rFonts w:ascii="EC Square Sans Pro" w:hAnsi="EC Square Sans Pro"/>
          <w:b/>
          <w:bCs/>
          <w:i w:val="0"/>
          <w:iCs w:val="0"/>
        </w:rPr>
        <w:t xml:space="preserve"> </w:t>
      </w:r>
    </w:p>
    <w:p w14:paraId="7F9BEB24" w14:textId="2A258F81" w:rsidR="00697CAB" w:rsidRPr="002B2AE4" w:rsidDel="000D5D72" w:rsidRDefault="00AF41E6" w:rsidP="00697CAB">
      <w:pPr>
        <w:pStyle w:val="Bodytext30"/>
        <w:shd w:val="clear" w:color="auto" w:fill="auto"/>
        <w:tabs>
          <w:tab w:val="left" w:pos="1190"/>
        </w:tabs>
        <w:spacing w:before="120" w:after="0" w:line="240" w:lineRule="auto"/>
        <w:ind w:firstLine="0"/>
        <w:jc w:val="both"/>
        <w:rPr>
          <w:rFonts w:ascii="EC Square Sans Pro" w:hAnsi="EC Square Sans Pro"/>
          <w:bCs/>
        </w:rPr>
      </w:pPr>
      <w:r w:rsidRPr="00AF41E6">
        <w:rPr>
          <w:rFonts w:ascii="EC Square Sans Pro" w:hAnsi="EC Square Sans Pro"/>
          <w:bCs/>
        </w:rPr>
        <w:t xml:space="preserve">If you are aware of any significant challenges concerning the Single Market faced by businesses or citizens from your Member State in a cross-border context relating to any of the four pillars of the report, including for example issues with market access and the conditions for economic activities, please highlight them </w:t>
      </w:r>
      <w:r w:rsidR="006B5897" w:rsidRPr="002B2AE4">
        <w:rPr>
          <w:rFonts w:ascii="EC Square Sans Pro" w:hAnsi="EC Square Sans Pro"/>
          <w:bCs/>
        </w:rPr>
        <w:t>in your input</w:t>
      </w:r>
      <w:r w:rsidR="006B5897" w:rsidRPr="002B2AE4">
        <w:rPr>
          <w:rStyle w:val="Allmrkuseviide"/>
          <w:rFonts w:ascii="EC Square Sans Pro" w:hAnsi="EC Square Sans Pro"/>
          <w:bCs/>
        </w:rPr>
        <w:footnoteReference w:id="13"/>
      </w:r>
      <w:r w:rsidR="00697CAB" w:rsidRPr="002B2AE4" w:rsidDel="000D5D72">
        <w:rPr>
          <w:rFonts w:ascii="EC Square Sans Pro" w:hAnsi="EC Square Sans Pro"/>
          <w:bCs/>
        </w:rPr>
        <w:t xml:space="preserve"> </w:t>
      </w:r>
    </w:p>
    <w:p w14:paraId="4C30AC9D" w14:textId="77777777" w:rsidR="00697CAB" w:rsidRDefault="00697CAB" w:rsidP="00697CAB">
      <w:pPr>
        <w:pStyle w:val="Bodytext30"/>
        <w:shd w:val="clear" w:color="auto" w:fill="auto"/>
        <w:tabs>
          <w:tab w:val="left" w:pos="1190"/>
        </w:tabs>
        <w:spacing w:before="120" w:after="0" w:line="240" w:lineRule="auto"/>
        <w:ind w:firstLine="0"/>
        <w:jc w:val="both"/>
        <w:rPr>
          <w:rFonts w:ascii="EC Square Sans Pro" w:hAnsi="EC Square Sans Pro"/>
          <w:bCs/>
          <w:i w:val="0"/>
          <w:iCs w:val="0"/>
        </w:rPr>
      </w:pPr>
    </w:p>
    <w:p w14:paraId="025ADD8D" w14:textId="77777777" w:rsidR="00697CAB" w:rsidRPr="009A47B6" w:rsidRDefault="00697CAB" w:rsidP="00697CAB">
      <w:pPr>
        <w:pStyle w:val="Bodytext20"/>
        <w:spacing w:before="120"/>
        <w:ind w:firstLine="0"/>
        <w:rPr>
          <w:rFonts w:ascii="EC Square Sans Pro" w:hAnsi="EC Square Sans Pro"/>
          <w:b/>
          <w:bCs/>
          <w:sz w:val="22"/>
          <w:szCs w:val="22"/>
          <w:lang w:val="en-IE"/>
        </w:rPr>
      </w:pPr>
    </w:p>
    <w:p w14:paraId="5F8F0AA2" w14:textId="77777777" w:rsidR="00D302FC" w:rsidRDefault="00D302FC"/>
    <w:sectPr w:rsidR="00D302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3A14" w14:textId="77777777" w:rsidR="003C6D0D" w:rsidRDefault="003C6D0D" w:rsidP="00697CAB">
      <w:pPr>
        <w:spacing w:after="0" w:line="240" w:lineRule="auto"/>
      </w:pPr>
      <w:r>
        <w:separator/>
      </w:r>
    </w:p>
  </w:endnote>
  <w:endnote w:type="continuationSeparator" w:id="0">
    <w:p w14:paraId="5439EB8E" w14:textId="77777777" w:rsidR="003C6D0D" w:rsidRDefault="003C6D0D" w:rsidP="00697CAB">
      <w:pPr>
        <w:spacing w:after="0" w:line="240" w:lineRule="auto"/>
      </w:pPr>
      <w:r>
        <w:continuationSeparator/>
      </w:r>
    </w:p>
  </w:endnote>
  <w:endnote w:type="continuationNotice" w:id="1">
    <w:p w14:paraId="40E5E152" w14:textId="77777777" w:rsidR="003C6D0D" w:rsidRDefault="003C6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EC Square Sans Pro">
    <w:altName w:val="Calibri"/>
    <w:charset w:val="00"/>
    <w:family w:val="swiss"/>
    <w:pitch w:val="variable"/>
    <w:sig w:usb0="20000287" w:usb1="00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BAC0" w14:textId="77777777" w:rsidR="00A025D5" w:rsidRDefault="00A025D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239391"/>
      <w:docPartObj>
        <w:docPartGallery w:val="Page Numbers (Bottom of Page)"/>
        <w:docPartUnique/>
      </w:docPartObj>
    </w:sdtPr>
    <w:sdtEndPr>
      <w:rPr>
        <w:rFonts w:ascii="EC Square Sans Pro" w:hAnsi="EC Square Sans Pro"/>
        <w:noProof/>
      </w:rPr>
    </w:sdtEndPr>
    <w:sdtContent>
      <w:p w14:paraId="4A1746B7" w14:textId="56EF85E0" w:rsidR="00A025D5" w:rsidRPr="00A025D5" w:rsidRDefault="00A025D5">
        <w:pPr>
          <w:pStyle w:val="Jalus"/>
          <w:jc w:val="center"/>
          <w:rPr>
            <w:rFonts w:ascii="EC Square Sans Pro" w:hAnsi="EC Square Sans Pro"/>
          </w:rPr>
        </w:pPr>
        <w:r w:rsidRPr="00A025D5">
          <w:rPr>
            <w:rFonts w:ascii="EC Square Sans Pro" w:hAnsi="EC Square Sans Pro"/>
          </w:rPr>
          <w:fldChar w:fldCharType="begin"/>
        </w:r>
        <w:r w:rsidRPr="00A025D5">
          <w:rPr>
            <w:rFonts w:ascii="EC Square Sans Pro" w:hAnsi="EC Square Sans Pro"/>
          </w:rPr>
          <w:instrText xml:space="preserve"> PAGE   \* MERGEFORMAT </w:instrText>
        </w:r>
        <w:r w:rsidRPr="00A025D5">
          <w:rPr>
            <w:rFonts w:ascii="EC Square Sans Pro" w:hAnsi="EC Square Sans Pro"/>
          </w:rPr>
          <w:fldChar w:fldCharType="separate"/>
        </w:r>
        <w:r w:rsidRPr="00A025D5">
          <w:rPr>
            <w:rFonts w:ascii="EC Square Sans Pro" w:hAnsi="EC Square Sans Pro"/>
            <w:noProof/>
          </w:rPr>
          <w:t>2</w:t>
        </w:r>
        <w:r w:rsidRPr="00A025D5">
          <w:rPr>
            <w:rFonts w:ascii="EC Square Sans Pro" w:hAnsi="EC Square Sans Pro"/>
            <w:noProof/>
          </w:rPr>
          <w:fldChar w:fldCharType="end"/>
        </w:r>
      </w:p>
    </w:sdtContent>
  </w:sdt>
  <w:p w14:paraId="309E80D2" w14:textId="77777777" w:rsidR="00A025D5" w:rsidRDefault="00A025D5">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24BC" w14:textId="77777777" w:rsidR="00A025D5" w:rsidRDefault="00A025D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6CE7" w14:textId="77777777" w:rsidR="003C6D0D" w:rsidRDefault="003C6D0D" w:rsidP="00697CAB">
      <w:pPr>
        <w:spacing w:after="0" w:line="240" w:lineRule="auto"/>
      </w:pPr>
      <w:r>
        <w:separator/>
      </w:r>
    </w:p>
  </w:footnote>
  <w:footnote w:type="continuationSeparator" w:id="0">
    <w:p w14:paraId="0B3215AF" w14:textId="77777777" w:rsidR="003C6D0D" w:rsidRDefault="003C6D0D" w:rsidP="00697CAB">
      <w:pPr>
        <w:spacing w:after="0" w:line="240" w:lineRule="auto"/>
      </w:pPr>
      <w:r>
        <w:continuationSeparator/>
      </w:r>
    </w:p>
  </w:footnote>
  <w:footnote w:type="continuationNotice" w:id="1">
    <w:p w14:paraId="2F1A500D" w14:textId="77777777" w:rsidR="003C6D0D" w:rsidRDefault="003C6D0D">
      <w:pPr>
        <w:spacing w:after="0" w:line="240" w:lineRule="auto"/>
      </w:pPr>
    </w:p>
  </w:footnote>
  <w:footnote w:id="2">
    <w:p w14:paraId="72F22DE1" w14:textId="77777777" w:rsidR="00697CAB" w:rsidRPr="00CA7E4A" w:rsidRDefault="00697CAB" w:rsidP="00697CAB">
      <w:pPr>
        <w:pStyle w:val="Allmrkusetekst"/>
        <w:ind w:left="284" w:hanging="284"/>
        <w:jc w:val="both"/>
        <w:rPr>
          <w:rFonts w:ascii="EC Square Sans Pro" w:hAnsi="EC Square Sans Pro" w:cstheme="minorHAnsi"/>
          <w:sz w:val="18"/>
        </w:rPr>
      </w:pPr>
      <w:r w:rsidRPr="00CA7E4A">
        <w:rPr>
          <w:rStyle w:val="Allmrkuseviide"/>
          <w:rFonts w:ascii="EC Square Sans Pro" w:eastAsiaTheme="majorEastAsia" w:hAnsi="EC Square Sans Pro" w:cstheme="minorHAnsi"/>
          <w:sz w:val="18"/>
        </w:rPr>
        <w:footnoteRef/>
      </w:r>
      <w:r w:rsidRPr="00CA7E4A">
        <w:rPr>
          <w:rFonts w:ascii="EC Square Sans Pro" w:hAnsi="EC Square Sans Pro" w:cstheme="minorHAnsi"/>
          <w:sz w:val="18"/>
        </w:rPr>
        <w:t xml:space="preserve"> </w:t>
      </w:r>
      <w:r w:rsidRPr="00CA7E4A">
        <w:rPr>
          <w:rFonts w:ascii="EC Square Sans Pro" w:hAnsi="EC Square Sans Pro" w:cstheme="minorHAnsi"/>
          <w:sz w:val="18"/>
        </w:rPr>
        <w:tab/>
        <w:t>The reference to ‘judges’ concerns judges at all level and types of courts as well as judges at constitutional courts.</w:t>
      </w:r>
    </w:p>
  </w:footnote>
  <w:footnote w:id="3">
    <w:p w14:paraId="4FD711C4" w14:textId="77777777" w:rsidR="00697CAB" w:rsidRPr="00CA7E4A" w:rsidRDefault="00697CAB" w:rsidP="00697CAB">
      <w:pPr>
        <w:pStyle w:val="Allmrkusetekst"/>
        <w:ind w:left="284" w:hanging="284"/>
        <w:jc w:val="both"/>
        <w:rPr>
          <w:rFonts w:ascii="EC Square Sans Pro" w:hAnsi="EC Square Sans Pro" w:cstheme="minorHAnsi"/>
        </w:rPr>
      </w:pPr>
      <w:r w:rsidRPr="00CA7E4A">
        <w:rPr>
          <w:rStyle w:val="Allmrkuseviide"/>
          <w:rFonts w:ascii="EC Square Sans Pro" w:eastAsiaTheme="majorEastAsia" w:hAnsi="EC Square Sans Pro" w:cstheme="minorHAnsi"/>
          <w:sz w:val="18"/>
        </w:rPr>
        <w:footnoteRef/>
      </w:r>
      <w:r w:rsidRPr="00CA7E4A">
        <w:rPr>
          <w:rFonts w:ascii="EC Square Sans Pro" w:hAnsi="EC Square Sans Pro" w:cstheme="minorHAnsi"/>
          <w:sz w:val="18"/>
        </w:rPr>
        <w:t xml:space="preserve"> </w:t>
      </w:r>
      <w:r w:rsidRPr="00CA7E4A">
        <w:rPr>
          <w:rFonts w:ascii="EC Square Sans Pro" w:hAnsi="EC Square Sans Pro" w:cstheme="minorHAnsi"/>
          <w:sz w:val="18"/>
        </w:rPr>
        <w:tab/>
        <w:t xml:space="preserve">Under this topic, Member States are not required to give statistical information but should provide input on the type of information outlined under section 2. </w:t>
      </w:r>
    </w:p>
  </w:footnote>
  <w:footnote w:id="4">
    <w:p w14:paraId="08D174E2" w14:textId="77777777" w:rsidR="00697CAB" w:rsidRPr="00C01398" w:rsidRDefault="00697CAB" w:rsidP="00697CAB">
      <w:pPr>
        <w:pStyle w:val="Allmrkusetekst"/>
        <w:ind w:left="284" w:hanging="284"/>
        <w:jc w:val="both"/>
        <w:rPr>
          <w:rFonts w:asciiTheme="minorHAnsi" w:hAnsiTheme="minorHAnsi" w:cstheme="minorHAnsi"/>
          <w:sz w:val="18"/>
          <w:szCs w:val="18"/>
        </w:rPr>
      </w:pPr>
      <w:r w:rsidRPr="00CA7E4A">
        <w:rPr>
          <w:rStyle w:val="Allmrkuseviide"/>
          <w:rFonts w:ascii="EC Square Sans Pro" w:eastAsiaTheme="majorEastAsia" w:hAnsi="EC Square Sans Pro" w:cstheme="minorHAnsi"/>
          <w:sz w:val="18"/>
          <w:szCs w:val="18"/>
        </w:rPr>
        <w:footnoteRef/>
      </w:r>
      <w:r w:rsidRPr="00CA7E4A">
        <w:rPr>
          <w:rFonts w:ascii="EC Square Sans Pro" w:hAnsi="EC Square Sans Pro" w:cstheme="minorHAnsi"/>
          <w:sz w:val="18"/>
          <w:szCs w:val="18"/>
        </w:rPr>
        <w:t xml:space="preserve"> </w:t>
      </w:r>
      <w:r w:rsidRPr="00CA7E4A">
        <w:rPr>
          <w:rFonts w:ascii="EC Square Sans Pro" w:hAnsi="EC Square Sans Pro" w:cstheme="minorHAnsi"/>
          <w:sz w:val="18"/>
          <w:szCs w:val="18"/>
        </w:rPr>
        <w:tab/>
        <w:t xml:space="preserve">Material resources refer e.g. to court buildings and other facilities. Financial resources include salaries of staff in </w:t>
      </w:r>
      <w:r w:rsidRPr="005F5E46">
        <w:rPr>
          <w:rFonts w:ascii="EC Square Sans Pro" w:hAnsi="EC Square Sans Pro" w:cstheme="minorHAnsi"/>
          <w:sz w:val="18"/>
          <w:szCs w:val="18"/>
        </w:rPr>
        <w:t>courts and prosecution offices.</w:t>
      </w:r>
    </w:p>
  </w:footnote>
  <w:footnote w:id="5">
    <w:p w14:paraId="667DAC0F" w14:textId="2F40705E" w:rsidR="00697CAB" w:rsidRPr="002F6B6F" w:rsidRDefault="00697CAB" w:rsidP="00697CAB">
      <w:pPr>
        <w:pStyle w:val="Allmrkusetekst"/>
        <w:ind w:left="284" w:hanging="284"/>
        <w:jc w:val="both"/>
        <w:rPr>
          <w:rFonts w:ascii="EC Square Sans Pro" w:hAnsi="EC Square Sans Pro" w:cstheme="minorHAnsi"/>
          <w:sz w:val="18"/>
        </w:rPr>
      </w:pPr>
      <w:r w:rsidRPr="002F6B6F">
        <w:rPr>
          <w:rStyle w:val="Allmrkuseviide"/>
          <w:rFonts w:ascii="EC Square Sans Pro" w:eastAsiaTheme="majorEastAsia" w:hAnsi="EC Square Sans Pro" w:cstheme="minorHAnsi"/>
          <w:sz w:val="18"/>
        </w:rPr>
        <w:footnoteRef/>
      </w:r>
      <w:r w:rsidRPr="002F6B6F">
        <w:rPr>
          <w:rFonts w:ascii="EC Square Sans Pro" w:hAnsi="EC Square Sans Pro"/>
          <w:sz w:val="18"/>
        </w:rPr>
        <w:t xml:space="preserve"> </w:t>
      </w:r>
      <w:r w:rsidRPr="002F6B6F">
        <w:rPr>
          <w:rFonts w:ascii="EC Square Sans Pro" w:hAnsi="EC Square Sans Pro"/>
          <w:sz w:val="18"/>
        </w:rPr>
        <w:tab/>
      </w:r>
      <w:proofErr w:type="gramStart"/>
      <w:r w:rsidRPr="002F6B6F">
        <w:rPr>
          <w:rFonts w:ascii="EC Square Sans Pro" w:hAnsi="EC Square Sans Pro" w:cstheme="minorHAnsi"/>
          <w:sz w:val="18"/>
        </w:rPr>
        <w:t>Factual information</w:t>
      </w:r>
      <w:proofErr w:type="gramEnd"/>
      <w:r w:rsidRPr="002F6B6F">
        <w:rPr>
          <w:rFonts w:ascii="EC Square Sans Pro" w:hAnsi="EC Square Sans Pro" w:cstheme="minorHAnsi"/>
          <w:sz w:val="18"/>
        </w:rPr>
        <w:t xml:space="preserve"> presented in Commission Staff Working Document of 2 December 2020, </w:t>
      </w:r>
      <w:proofErr w:type="gramStart"/>
      <w:r w:rsidRPr="002F6B6F">
        <w:rPr>
          <w:rFonts w:ascii="EC Square Sans Pro" w:hAnsi="EC Square Sans Pro" w:cstheme="minorHAnsi"/>
          <w:sz w:val="18"/>
        </w:rPr>
        <w:t>SWD(</w:t>
      </w:r>
      <w:proofErr w:type="gramEnd"/>
      <w:r w:rsidRPr="002F6B6F">
        <w:rPr>
          <w:rFonts w:ascii="EC Square Sans Pro" w:hAnsi="EC Square Sans Pro" w:cstheme="minorHAnsi"/>
          <w:sz w:val="18"/>
        </w:rPr>
        <w:t xml:space="preserve">2020) 540 final, accompanying the Communication on </w:t>
      </w:r>
      <w:proofErr w:type="spellStart"/>
      <w:r w:rsidRPr="002F6B6F">
        <w:rPr>
          <w:rFonts w:ascii="EC Square Sans Pro" w:hAnsi="EC Square Sans Pro" w:cstheme="minorHAnsi"/>
          <w:sz w:val="18"/>
        </w:rPr>
        <w:t>Digitalisation</w:t>
      </w:r>
      <w:proofErr w:type="spellEnd"/>
      <w:r w:rsidRPr="002F6B6F">
        <w:rPr>
          <w:rFonts w:ascii="EC Square Sans Pro" w:hAnsi="EC Square Sans Pro" w:cstheme="minorHAnsi"/>
          <w:sz w:val="18"/>
        </w:rPr>
        <w:t xml:space="preserve"> of justice in the European Union, </w:t>
      </w:r>
      <w:proofErr w:type="gramStart"/>
      <w:r w:rsidRPr="002F6B6F">
        <w:rPr>
          <w:rFonts w:ascii="EC Square Sans Pro" w:hAnsi="EC Square Sans Pro" w:cstheme="minorHAnsi"/>
          <w:sz w:val="18"/>
        </w:rPr>
        <w:t>COM(</w:t>
      </w:r>
      <w:proofErr w:type="gramEnd"/>
      <w:r w:rsidRPr="002F6B6F">
        <w:rPr>
          <w:rFonts w:ascii="EC Square Sans Pro" w:hAnsi="EC Square Sans Pro" w:cstheme="minorHAnsi"/>
          <w:sz w:val="18"/>
        </w:rPr>
        <w:t>2020) 710 final and Figures 40 to 48 of the 202</w:t>
      </w:r>
      <w:r w:rsidR="005F5E46">
        <w:rPr>
          <w:rFonts w:ascii="EC Square Sans Pro" w:hAnsi="EC Square Sans Pro" w:cstheme="minorHAnsi"/>
          <w:sz w:val="18"/>
        </w:rPr>
        <w:t>5</w:t>
      </w:r>
      <w:r w:rsidRPr="002F6B6F">
        <w:rPr>
          <w:rFonts w:ascii="EC Square Sans Pro" w:hAnsi="EC Square Sans Pro" w:cstheme="minorHAnsi"/>
          <w:sz w:val="18"/>
        </w:rPr>
        <w:t xml:space="preserve"> EU Justice Scoreboard, does not need to be repeated.</w:t>
      </w:r>
    </w:p>
  </w:footnote>
  <w:footnote w:id="6">
    <w:p w14:paraId="7E3EB0DC" w14:textId="77777777" w:rsidR="00697CAB" w:rsidRPr="00C01398" w:rsidRDefault="00697CAB" w:rsidP="00697CAB">
      <w:pPr>
        <w:pStyle w:val="Allmrkusetekst"/>
        <w:ind w:left="284" w:hanging="284"/>
        <w:jc w:val="both"/>
        <w:rPr>
          <w:rFonts w:asciiTheme="minorHAnsi" w:hAnsiTheme="minorHAnsi" w:cstheme="minorHAnsi"/>
        </w:rPr>
      </w:pPr>
      <w:r w:rsidRPr="002F6B6F">
        <w:rPr>
          <w:rStyle w:val="Allmrkuseviide"/>
          <w:rFonts w:ascii="EC Square Sans Pro" w:eastAsiaTheme="majorEastAsia" w:hAnsi="EC Square Sans Pro" w:cstheme="minorHAnsi"/>
          <w:sz w:val="18"/>
        </w:rPr>
        <w:footnoteRef/>
      </w:r>
      <w:r w:rsidRPr="002F6B6F">
        <w:rPr>
          <w:rFonts w:ascii="EC Square Sans Pro" w:hAnsi="EC Square Sans Pro" w:cstheme="minorHAnsi"/>
          <w:sz w:val="18"/>
        </w:rPr>
        <w:t xml:space="preserve"> </w:t>
      </w:r>
      <w:r w:rsidRPr="002F6B6F">
        <w:rPr>
          <w:rFonts w:ascii="EC Square Sans Pro" w:hAnsi="EC Square Sans Pro" w:cstheme="minorHAnsi"/>
          <w:sz w:val="18"/>
        </w:rPr>
        <w:tab/>
        <w:t>Under this topic, Member States are not required to give statistical information but should provide input on the type of information outlined under section 2.</w:t>
      </w:r>
      <w:r w:rsidRPr="00C01398">
        <w:rPr>
          <w:rFonts w:asciiTheme="minorHAnsi" w:hAnsiTheme="minorHAnsi" w:cstheme="minorHAnsi"/>
          <w:sz w:val="18"/>
        </w:rPr>
        <w:t xml:space="preserve"> </w:t>
      </w:r>
    </w:p>
  </w:footnote>
  <w:footnote w:id="7">
    <w:p w14:paraId="4613D9F6" w14:textId="77777777" w:rsidR="00697CAB" w:rsidRPr="00E94C35" w:rsidRDefault="00697CAB" w:rsidP="00697CAB">
      <w:pPr>
        <w:pStyle w:val="Allmrkusetekst"/>
        <w:ind w:left="284" w:hanging="284"/>
        <w:jc w:val="both"/>
        <w:rPr>
          <w:rFonts w:ascii="EC Square Sans Pro" w:hAnsi="EC Square Sans Pro"/>
          <w:lang w:val="en-IE"/>
        </w:rPr>
      </w:pPr>
      <w:bookmarkStart w:id="4" w:name="bookmark14"/>
      <w:r w:rsidRPr="00E94C35">
        <w:rPr>
          <w:rStyle w:val="Allmrkuseviide"/>
          <w:rFonts w:ascii="EC Square Sans Pro" w:eastAsiaTheme="majorEastAsia" w:hAnsi="EC Square Sans Pro"/>
          <w:sz w:val="18"/>
          <w:szCs w:val="18"/>
        </w:rPr>
        <w:footnoteRef/>
      </w:r>
      <w:r w:rsidRPr="00E94C35">
        <w:rPr>
          <w:rFonts w:ascii="EC Square Sans Pro" w:hAnsi="EC Square Sans Pro"/>
          <w:sz w:val="18"/>
          <w:szCs w:val="18"/>
        </w:rPr>
        <w:t xml:space="preserve"> </w:t>
      </w:r>
      <w:bookmarkEnd w:id="4"/>
      <w:r>
        <w:rPr>
          <w:rFonts w:ascii="EC Square Sans Pro" w:hAnsi="EC Square Sans Pro"/>
          <w:sz w:val="18"/>
          <w:szCs w:val="18"/>
        </w:rPr>
        <w:tab/>
      </w:r>
      <w:r w:rsidRPr="00E94C35">
        <w:rPr>
          <w:rFonts w:ascii="EC Square Sans Pro" w:hAnsi="EC Square Sans Pro"/>
          <w:sz w:val="18"/>
          <w:szCs w:val="18"/>
        </w:rPr>
        <w:t xml:space="preserve">Where previous specific reports, published in the framework of the review under the UN Convention against Corruption, of </w:t>
      </w:r>
      <w:r w:rsidRPr="00E94C35">
        <w:rPr>
          <w:rFonts w:ascii="EC Square Sans Pro" w:hAnsi="EC Square Sans Pro" w:cstheme="minorHAnsi"/>
          <w:sz w:val="18"/>
        </w:rPr>
        <w:t>GRECO</w:t>
      </w:r>
      <w:r w:rsidRPr="00E94C35">
        <w:rPr>
          <w:rFonts w:ascii="EC Square Sans Pro" w:hAnsi="EC Square Sans Pro"/>
          <w:sz w:val="18"/>
          <w:szCs w:val="18"/>
        </w:rPr>
        <w:t>, and of the OECD address the issues below, please make a reference to the points you wish to bring to the Commission’s attention in these documents, indicating any relevant updates, changes or measures introduced that have occurred since these documents were published.</w:t>
      </w:r>
    </w:p>
  </w:footnote>
  <w:footnote w:id="8">
    <w:p w14:paraId="029D9DE5" w14:textId="77777777" w:rsidR="00697CAB" w:rsidRPr="00E94C35" w:rsidRDefault="00697CAB" w:rsidP="00697CAB">
      <w:pPr>
        <w:pStyle w:val="Allmrkusetekst"/>
        <w:ind w:left="284" w:hanging="284"/>
        <w:jc w:val="both"/>
        <w:rPr>
          <w:rFonts w:ascii="EC Square Sans Pro" w:hAnsi="EC Square Sans Pro"/>
          <w:lang w:val="en-IE"/>
        </w:rPr>
      </w:pPr>
      <w:r w:rsidRPr="00E94C35">
        <w:rPr>
          <w:rStyle w:val="Allmrkuseviide"/>
          <w:rFonts w:ascii="EC Square Sans Pro" w:eastAsiaTheme="majorEastAsia" w:hAnsi="EC Square Sans Pro"/>
        </w:rPr>
        <w:footnoteRef/>
      </w:r>
      <w:r w:rsidRPr="00E94C35">
        <w:rPr>
          <w:rFonts w:ascii="EC Square Sans Pro" w:hAnsi="EC Square Sans Pro"/>
        </w:rPr>
        <w:t xml:space="preserve"> </w:t>
      </w:r>
      <w:r w:rsidRPr="00E94C35">
        <w:rPr>
          <w:rFonts w:ascii="EC Square Sans Pro" w:hAnsi="EC Square Sans Pro"/>
        </w:rPr>
        <w:tab/>
      </w:r>
      <w:r w:rsidRPr="00E94C35">
        <w:rPr>
          <w:rFonts w:ascii="EC Square Sans Pro" w:hAnsi="EC Square Sans Pro" w:cstheme="minorHAnsi"/>
          <w:sz w:val="18"/>
        </w:rPr>
        <w:t>Please include, if available the number of (data since 2022 or latest available data): indictments; first instance convictions, first instance acquittals; final convictions; final acquittals; other outcomes (final) (i.e. excluding convictions and acquittals); cases adjudicated (final); imprisonment / custodial sentences through final convictions; suspended custodial sentences through final convictions; pending cases at the end of the reference year.</w:t>
      </w:r>
    </w:p>
  </w:footnote>
  <w:footnote w:id="9">
    <w:p w14:paraId="73BF0067" w14:textId="77777777" w:rsidR="00697CAB" w:rsidRPr="00EB455E" w:rsidRDefault="00697CAB" w:rsidP="00697CAB">
      <w:pPr>
        <w:pStyle w:val="Allmrkusetekst"/>
        <w:ind w:left="284" w:hanging="284"/>
        <w:jc w:val="both"/>
        <w:rPr>
          <w:lang w:val="en-IE"/>
        </w:rPr>
      </w:pPr>
      <w:r w:rsidRPr="00E94C35">
        <w:rPr>
          <w:rStyle w:val="Allmrkuseviide"/>
          <w:rFonts w:ascii="EC Square Sans Pro" w:eastAsiaTheme="majorEastAsia" w:hAnsi="EC Square Sans Pro"/>
        </w:rPr>
        <w:footnoteRef/>
      </w:r>
      <w:r w:rsidRPr="00E94C35">
        <w:rPr>
          <w:rFonts w:ascii="EC Square Sans Pro" w:hAnsi="EC Square Sans Pro"/>
        </w:rPr>
        <w:t xml:space="preserve"> </w:t>
      </w:r>
      <w:r w:rsidRPr="00E94C35">
        <w:rPr>
          <w:rFonts w:ascii="EC Square Sans Pro" w:hAnsi="EC Square Sans Pro"/>
        </w:rPr>
        <w:tab/>
      </w:r>
      <w:r w:rsidRPr="00E94C35">
        <w:rPr>
          <w:rFonts w:ascii="EC Square Sans Pro" w:hAnsi="EC Square Sans Pro" w:cstheme="minorHAnsi"/>
        </w:rPr>
        <w:t>F</w:t>
      </w:r>
      <w:r w:rsidRPr="00E94C35">
        <w:rPr>
          <w:rFonts w:ascii="EC Square Sans Pro" w:hAnsi="EC Square Sans Pro" w:cstheme="minorHAnsi"/>
          <w:sz w:val="18"/>
        </w:rPr>
        <w:t>or MS participating in the EPPO, data on cases related to EU funds does not encompass investigations and prosecutions carried out by the EPPO.</w:t>
      </w:r>
      <w:r>
        <w:rPr>
          <w:rFonts w:asciiTheme="minorHAnsi" w:hAnsiTheme="minorHAnsi" w:cstheme="minorHAnsi"/>
          <w:sz w:val="18"/>
        </w:rPr>
        <w:t xml:space="preserve"> </w:t>
      </w:r>
    </w:p>
  </w:footnote>
  <w:footnote w:id="10">
    <w:p w14:paraId="017F61B1" w14:textId="77777777" w:rsidR="00697CAB" w:rsidRPr="00E94C35" w:rsidRDefault="00697CAB" w:rsidP="00697CAB">
      <w:pPr>
        <w:pStyle w:val="Allmrkusetekst"/>
        <w:ind w:left="284" w:hanging="284"/>
        <w:jc w:val="both"/>
        <w:rPr>
          <w:rFonts w:ascii="EC Square Sans Pro" w:hAnsi="EC Square Sans Pro" w:cstheme="minorHAnsi"/>
          <w:sz w:val="18"/>
          <w:lang w:val="en-IE"/>
        </w:rPr>
      </w:pPr>
      <w:r w:rsidRPr="00E94C35">
        <w:rPr>
          <w:rStyle w:val="Allmrkuseviide"/>
          <w:rFonts w:ascii="EC Square Sans Pro" w:eastAsiaTheme="majorEastAsia" w:hAnsi="EC Square Sans Pro" w:cstheme="minorHAnsi"/>
          <w:sz w:val="18"/>
        </w:rPr>
        <w:footnoteRef/>
      </w:r>
      <w:r w:rsidRPr="00E94C35">
        <w:rPr>
          <w:rFonts w:ascii="EC Square Sans Pro" w:hAnsi="EC Square Sans Pro" w:cstheme="minorHAnsi"/>
          <w:sz w:val="18"/>
        </w:rPr>
        <w:t xml:space="preserve"> </w:t>
      </w:r>
      <w:r w:rsidRPr="00E94C35">
        <w:rPr>
          <w:rFonts w:ascii="EC Square Sans Pro" w:hAnsi="EC Square Sans Pro" w:cstheme="minorHAnsi"/>
          <w:sz w:val="18"/>
        </w:rPr>
        <w:tab/>
        <w:t>Cf. Article 30 of Directive 2018/1808.</w:t>
      </w:r>
    </w:p>
  </w:footnote>
  <w:footnote w:id="11">
    <w:p w14:paraId="0ED3677F" w14:textId="77777777" w:rsidR="00697CAB" w:rsidRPr="00E94C35" w:rsidRDefault="00697CAB" w:rsidP="00697CAB">
      <w:pPr>
        <w:pStyle w:val="Allmrkusetekst"/>
        <w:ind w:left="142" w:hanging="142"/>
        <w:jc w:val="both"/>
        <w:rPr>
          <w:rFonts w:ascii="EC Square Sans Pro" w:hAnsi="EC Square Sans Pro"/>
        </w:rPr>
      </w:pPr>
      <w:r w:rsidRPr="00E94C35">
        <w:rPr>
          <w:rFonts w:ascii="EC Square Sans Pro" w:hAnsi="EC Square Sans Pro" w:cstheme="minorHAnsi"/>
          <w:sz w:val="18"/>
          <w:vertAlign w:val="superscript"/>
        </w:rPr>
        <w:footnoteRef/>
      </w:r>
      <w:r w:rsidRPr="00E94C35">
        <w:rPr>
          <w:rFonts w:ascii="EC Square Sans Pro" w:hAnsi="EC Square Sans Pro" w:cstheme="minorHAnsi"/>
          <w:sz w:val="18"/>
        </w:rPr>
        <w:t xml:space="preserve"> This includes also the consultation of social partners.</w:t>
      </w:r>
      <w:r w:rsidRPr="00E94C35">
        <w:rPr>
          <w:rFonts w:ascii="EC Square Sans Pro" w:hAnsi="EC Square Sans Pro"/>
        </w:rPr>
        <w:t xml:space="preserve"> </w:t>
      </w:r>
    </w:p>
  </w:footnote>
  <w:footnote w:id="12">
    <w:p w14:paraId="5F361C59" w14:textId="77777777" w:rsidR="00697CAB" w:rsidRPr="007C0C56" w:rsidRDefault="00697CAB" w:rsidP="00697CAB">
      <w:pPr>
        <w:pStyle w:val="Allmrkusetekst"/>
        <w:ind w:left="142" w:hanging="142"/>
        <w:jc w:val="both"/>
        <w:rPr>
          <w:rFonts w:asciiTheme="minorHAnsi" w:hAnsiTheme="minorHAnsi" w:cstheme="minorHAnsi"/>
          <w:lang w:val="en-IE"/>
        </w:rPr>
      </w:pPr>
      <w:r w:rsidRPr="00E94C35">
        <w:rPr>
          <w:rStyle w:val="Allmrkuseviide"/>
          <w:rFonts w:ascii="EC Square Sans Pro" w:eastAsiaTheme="majorEastAsia" w:hAnsi="EC Square Sans Pro" w:cstheme="minorHAnsi"/>
          <w:sz w:val="18"/>
        </w:rPr>
        <w:footnoteRef/>
      </w:r>
      <w:r w:rsidRPr="00E94C35">
        <w:rPr>
          <w:rFonts w:ascii="EC Square Sans Pro" w:hAnsi="EC Square Sans Pro" w:cstheme="minorHAnsi"/>
          <w:sz w:val="18"/>
        </w:rPr>
        <w:t xml:space="preserve"> Cf. the website of the European Court of Auditors: </w:t>
      </w:r>
      <w:hyperlink r:id="rId1" w:history="1">
        <w:r w:rsidRPr="00E94C35">
          <w:rPr>
            <w:rStyle w:val="Hperlink"/>
            <w:rFonts w:ascii="EC Square Sans Pro" w:hAnsi="EC Square Sans Pro" w:cstheme="minorHAnsi"/>
            <w:sz w:val="18"/>
          </w:rPr>
          <w:t>https://www.eca.europa.eu/en/Pages/SupremeAuditInstitutions.aspx#</w:t>
        </w:r>
      </w:hyperlink>
    </w:p>
  </w:footnote>
  <w:footnote w:id="13">
    <w:p w14:paraId="7B5833F7" w14:textId="6EE7036B" w:rsidR="006B5897" w:rsidRPr="002B2AE4" w:rsidRDefault="006B5897" w:rsidP="002B2AE4">
      <w:pPr>
        <w:pStyle w:val="Allmrkusetekst"/>
        <w:jc w:val="both"/>
        <w:rPr>
          <w:rFonts w:ascii="EC Square Sans Pro" w:hAnsi="EC Square Sans Pro"/>
          <w:lang w:val="en-IE"/>
        </w:rPr>
      </w:pPr>
      <w:r w:rsidRPr="002B2AE4">
        <w:rPr>
          <w:rStyle w:val="Allmrkuseviide"/>
          <w:rFonts w:ascii="EC Square Sans Pro" w:hAnsi="EC Square Sans Pro"/>
          <w:sz w:val="18"/>
          <w:szCs w:val="18"/>
        </w:rPr>
        <w:footnoteRef/>
      </w:r>
      <w:r w:rsidRPr="002B2AE4">
        <w:rPr>
          <w:rFonts w:ascii="EC Square Sans Pro" w:hAnsi="EC Square Sans Pro"/>
        </w:rPr>
        <w:t xml:space="preserve"> </w:t>
      </w:r>
      <w:r w:rsidR="0050239E" w:rsidRPr="002B2AE4">
        <w:rPr>
          <w:rFonts w:ascii="EC Square Sans Pro" w:hAnsi="EC Square Sans Pro" w:cstheme="minorHAnsi"/>
          <w:sz w:val="18"/>
        </w:rPr>
        <w:t>Given the cross-cutting nature of this question, it is included as a separate section in the questionnaire. Information collected under this question will however be integrated under the relevant existing pillar(s) of the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6DBC" w14:textId="77777777" w:rsidR="00A025D5" w:rsidRDefault="00A025D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4ED8" w14:textId="77777777" w:rsidR="00A025D5" w:rsidRDefault="00A025D5">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0986" w14:textId="77777777" w:rsidR="00A025D5" w:rsidRDefault="00A025D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7D25"/>
    <w:multiLevelType w:val="hybridMultilevel"/>
    <w:tmpl w:val="C8F60A6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4FC3FDD"/>
    <w:multiLevelType w:val="hybridMultilevel"/>
    <w:tmpl w:val="969EAE8E"/>
    <w:lvl w:ilvl="0" w:tplc="1870CC56">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B084FA8"/>
    <w:multiLevelType w:val="hybridMultilevel"/>
    <w:tmpl w:val="BDE4726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28A65D5"/>
    <w:multiLevelType w:val="multilevel"/>
    <w:tmpl w:val="4BF0A494"/>
    <w:lvl w:ilvl="0">
      <w:start w:val="1"/>
      <w:numFmt w:val="upperRoman"/>
      <w:lvlText w:val="%1."/>
      <w:lvlJc w:val="left"/>
      <w:rPr>
        <w:rFonts w:ascii="EC Square Sans Pro" w:eastAsia="Calibri" w:hAnsi="EC Square Sans Pro" w:cs="Calibri"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44115B"/>
    <w:multiLevelType w:val="hybridMultilevel"/>
    <w:tmpl w:val="B934AF3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E567E0C"/>
    <w:multiLevelType w:val="hybridMultilevel"/>
    <w:tmpl w:val="AA8C420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62A35DA8"/>
    <w:multiLevelType w:val="hybridMultilevel"/>
    <w:tmpl w:val="7A544D3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92453286">
    <w:abstractNumId w:val="3"/>
  </w:num>
  <w:num w:numId="2" w16cid:durableId="682512138">
    <w:abstractNumId w:val="0"/>
  </w:num>
  <w:num w:numId="3" w16cid:durableId="1446651167">
    <w:abstractNumId w:val="2"/>
  </w:num>
  <w:num w:numId="4" w16cid:durableId="1696537186">
    <w:abstractNumId w:val="6"/>
  </w:num>
  <w:num w:numId="5" w16cid:durableId="1956906853">
    <w:abstractNumId w:val="4"/>
  </w:num>
  <w:num w:numId="6" w16cid:durableId="1995986534">
    <w:abstractNumId w:val="5"/>
  </w:num>
  <w:num w:numId="7" w16cid:durableId="73258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97CAB"/>
    <w:rsid w:val="0002481E"/>
    <w:rsid w:val="0004122C"/>
    <w:rsid w:val="000669FE"/>
    <w:rsid w:val="000B0384"/>
    <w:rsid w:val="000D4746"/>
    <w:rsid w:val="000D5D72"/>
    <w:rsid w:val="00103158"/>
    <w:rsid w:val="00126DC3"/>
    <w:rsid w:val="00181C99"/>
    <w:rsid w:val="001A2CD2"/>
    <w:rsid w:val="001E2E10"/>
    <w:rsid w:val="00220274"/>
    <w:rsid w:val="00267ABB"/>
    <w:rsid w:val="00280169"/>
    <w:rsid w:val="00284520"/>
    <w:rsid w:val="002A3B5F"/>
    <w:rsid w:val="002A5B61"/>
    <w:rsid w:val="002B2AE4"/>
    <w:rsid w:val="002E463C"/>
    <w:rsid w:val="00301323"/>
    <w:rsid w:val="003410CB"/>
    <w:rsid w:val="003922DD"/>
    <w:rsid w:val="003C6D0D"/>
    <w:rsid w:val="003C7B8C"/>
    <w:rsid w:val="00420E49"/>
    <w:rsid w:val="00423ACA"/>
    <w:rsid w:val="00434302"/>
    <w:rsid w:val="00446285"/>
    <w:rsid w:val="00455B14"/>
    <w:rsid w:val="00456082"/>
    <w:rsid w:val="0050239E"/>
    <w:rsid w:val="00552D75"/>
    <w:rsid w:val="0058015F"/>
    <w:rsid w:val="005E6CC1"/>
    <w:rsid w:val="005F2B17"/>
    <w:rsid w:val="005F5E46"/>
    <w:rsid w:val="006169E0"/>
    <w:rsid w:val="006433AC"/>
    <w:rsid w:val="00654640"/>
    <w:rsid w:val="00697CAB"/>
    <w:rsid w:val="006A707C"/>
    <w:rsid w:val="006B5897"/>
    <w:rsid w:val="006E2C96"/>
    <w:rsid w:val="006E69A7"/>
    <w:rsid w:val="006F2A0E"/>
    <w:rsid w:val="006F5408"/>
    <w:rsid w:val="006F770B"/>
    <w:rsid w:val="007072B8"/>
    <w:rsid w:val="007323E9"/>
    <w:rsid w:val="00735FA1"/>
    <w:rsid w:val="00745A61"/>
    <w:rsid w:val="007C7F93"/>
    <w:rsid w:val="007D1DDA"/>
    <w:rsid w:val="007D471E"/>
    <w:rsid w:val="007E2003"/>
    <w:rsid w:val="00824BC1"/>
    <w:rsid w:val="00875E0F"/>
    <w:rsid w:val="00895358"/>
    <w:rsid w:val="008C0DE9"/>
    <w:rsid w:val="009506D0"/>
    <w:rsid w:val="0098127A"/>
    <w:rsid w:val="009F4450"/>
    <w:rsid w:val="00A025D5"/>
    <w:rsid w:val="00A042F9"/>
    <w:rsid w:val="00A11866"/>
    <w:rsid w:val="00A17784"/>
    <w:rsid w:val="00A81FBC"/>
    <w:rsid w:val="00AA441E"/>
    <w:rsid w:val="00AA766C"/>
    <w:rsid w:val="00AB3765"/>
    <w:rsid w:val="00AC0CEA"/>
    <w:rsid w:val="00AC7835"/>
    <w:rsid w:val="00AF41E6"/>
    <w:rsid w:val="00AF4587"/>
    <w:rsid w:val="00B02FFB"/>
    <w:rsid w:val="00B0364D"/>
    <w:rsid w:val="00B61C0E"/>
    <w:rsid w:val="00BA004C"/>
    <w:rsid w:val="00BB30C5"/>
    <w:rsid w:val="00BB49B9"/>
    <w:rsid w:val="00BC1E13"/>
    <w:rsid w:val="00BF3C2E"/>
    <w:rsid w:val="00C01A4A"/>
    <w:rsid w:val="00C0302E"/>
    <w:rsid w:val="00C6580F"/>
    <w:rsid w:val="00C70A01"/>
    <w:rsid w:val="00C85378"/>
    <w:rsid w:val="00CE0CA3"/>
    <w:rsid w:val="00D302FC"/>
    <w:rsid w:val="00D433C8"/>
    <w:rsid w:val="00D774F7"/>
    <w:rsid w:val="00D8666D"/>
    <w:rsid w:val="00D9752C"/>
    <w:rsid w:val="00DA1BC9"/>
    <w:rsid w:val="00DA3873"/>
    <w:rsid w:val="00DC3327"/>
    <w:rsid w:val="00DE7EC0"/>
    <w:rsid w:val="00DF5D59"/>
    <w:rsid w:val="00E33A75"/>
    <w:rsid w:val="00E70AC0"/>
    <w:rsid w:val="00E7179D"/>
    <w:rsid w:val="00E93447"/>
    <w:rsid w:val="00EB6964"/>
    <w:rsid w:val="00EC60AD"/>
    <w:rsid w:val="00EE299A"/>
    <w:rsid w:val="00F13698"/>
    <w:rsid w:val="00F25738"/>
    <w:rsid w:val="00F44C31"/>
    <w:rsid w:val="00F609C4"/>
    <w:rsid w:val="00F6448A"/>
    <w:rsid w:val="00F945D2"/>
    <w:rsid w:val="00FB538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7C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97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97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97CA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97CA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97CA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97CA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97CA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97CA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97CA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97CA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97CA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97CA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97CA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97CA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97CA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97CA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97CA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97CA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97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97CA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97CA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97CA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97CAB"/>
    <w:pPr>
      <w:spacing w:before="160"/>
      <w:jc w:val="center"/>
    </w:pPr>
    <w:rPr>
      <w:i/>
      <w:iCs/>
      <w:color w:val="404040" w:themeColor="text1" w:themeTint="BF"/>
    </w:rPr>
  </w:style>
  <w:style w:type="character" w:customStyle="1" w:styleId="TsitaatMrk">
    <w:name w:val="Tsitaat Märk"/>
    <w:basedOn w:val="Liguvaikefont"/>
    <w:link w:val="Tsitaat"/>
    <w:uiPriority w:val="29"/>
    <w:rsid w:val="00697CAB"/>
    <w:rPr>
      <w:i/>
      <w:iCs/>
      <w:color w:val="404040" w:themeColor="text1" w:themeTint="BF"/>
    </w:rPr>
  </w:style>
  <w:style w:type="paragraph" w:styleId="Loendilik">
    <w:name w:val="List Paragraph"/>
    <w:basedOn w:val="Normaallaad"/>
    <w:uiPriority w:val="34"/>
    <w:qFormat/>
    <w:rsid w:val="00697CAB"/>
    <w:pPr>
      <w:ind w:left="720"/>
      <w:contextualSpacing/>
    </w:pPr>
  </w:style>
  <w:style w:type="character" w:styleId="Selgeltmrgatavrhutus">
    <w:name w:val="Intense Emphasis"/>
    <w:basedOn w:val="Liguvaikefont"/>
    <w:uiPriority w:val="21"/>
    <w:qFormat/>
    <w:rsid w:val="00697CAB"/>
    <w:rPr>
      <w:i/>
      <w:iCs/>
      <w:color w:val="0F4761" w:themeColor="accent1" w:themeShade="BF"/>
    </w:rPr>
  </w:style>
  <w:style w:type="paragraph" w:styleId="Selgeltmrgatavtsitaat">
    <w:name w:val="Intense Quote"/>
    <w:basedOn w:val="Normaallaad"/>
    <w:next w:val="Normaallaad"/>
    <w:link w:val="SelgeltmrgatavtsitaatMrk"/>
    <w:uiPriority w:val="30"/>
    <w:qFormat/>
    <w:rsid w:val="00697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97CAB"/>
    <w:rPr>
      <w:i/>
      <w:iCs/>
      <w:color w:val="0F4761" w:themeColor="accent1" w:themeShade="BF"/>
    </w:rPr>
  </w:style>
  <w:style w:type="character" w:styleId="Selgeltmrgatavviide">
    <w:name w:val="Intense Reference"/>
    <w:basedOn w:val="Liguvaikefont"/>
    <w:uiPriority w:val="32"/>
    <w:qFormat/>
    <w:rsid w:val="00697CAB"/>
    <w:rPr>
      <w:b/>
      <w:bCs/>
      <w:smallCaps/>
      <w:color w:val="0F4761" w:themeColor="accent1" w:themeShade="BF"/>
      <w:spacing w:val="5"/>
    </w:rPr>
  </w:style>
  <w:style w:type="paragraph" w:customStyle="1" w:styleId="Heading210">
    <w:name w:val="Heading #2|10"/>
    <w:basedOn w:val="Normaallaad"/>
    <w:qFormat/>
    <w:rsid w:val="00697CAB"/>
    <w:pPr>
      <w:widowControl w:val="0"/>
      <w:shd w:val="clear" w:color="auto" w:fill="FFFFFF"/>
      <w:spacing w:after="80" w:line="268" w:lineRule="exact"/>
      <w:jc w:val="center"/>
      <w:outlineLvl w:val="1"/>
    </w:pPr>
    <w:rPr>
      <w:rFonts w:ascii="Calibri" w:eastAsia="Calibri" w:hAnsi="Calibri" w:cs="Calibri"/>
      <w:b/>
      <w:bCs/>
      <w:color w:val="000000"/>
      <w:kern w:val="0"/>
      <w:lang w:val="en-US" w:bidi="en-US"/>
    </w:rPr>
  </w:style>
  <w:style w:type="paragraph" w:customStyle="1" w:styleId="Bodytext20">
    <w:name w:val="Body text|20"/>
    <w:basedOn w:val="Normaallaad"/>
    <w:qFormat/>
    <w:rsid w:val="00697CAB"/>
    <w:pPr>
      <w:widowControl w:val="0"/>
      <w:shd w:val="clear" w:color="auto" w:fill="FFFFFF"/>
      <w:spacing w:before="80" w:after="80" w:line="269" w:lineRule="exact"/>
      <w:ind w:hanging="360"/>
      <w:jc w:val="both"/>
    </w:pPr>
    <w:rPr>
      <w:rFonts w:ascii="Calibri" w:eastAsia="Calibri" w:hAnsi="Calibri" w:cs="Calibri"/>
      <w:color w:val="000000"/>
      <w:kern w:val="0"/>
      <w:sz w:val="21"/>
      <w:szCs w:val="21"/>
      <w:lang w:val="en-US" w:bidi="en-US"/>
    </w:rPr>
  </w:style>
  <w:style w:type="paragraph" w:styleId="Allmrkusetekst">
    <w:name w:val="footnote text"/>
    <w:basedOn w:val="Normaallaad"/>
    <w:link w:val="AllmrkusetekstMrk"/>
    <w:uiPriority w:val="99"/>
    <w:semiHidden/>
    <w:unhideWhenUsed/>
    <w:rsid w:val="00697CAB"/>
    <w:pPr>
      <w:widowControl w:val="0"/>
      <w:spacing w:after="0" w:line="240" w:lineRule="auto"/>
    </w:pPr>
    <w:rPr>
      <w:rFonts w:ascii="Times New Roman" w:eastAsia="Times New Roman" w:hAnsi="Times New Roman" w:cs="Times New Roman"/>
      <w:color w:val="000000"/>
      <w:kern w:val="0"/>
      <w:sz w:val="20"/>
      <w:szCs w:val="20"/>
      <w:lang w:val="en-US" w:bidi="en-US"/>
    </w:rPr>
  </w:style>
  <w:style w:type="character" w:customStyle="1" w:styleId="AllmrkusetekstMrk">
    <w:name w:val="Allmärkuse tekst Märk"/>
    <w:basedOn w:val="Liguvaikefont"/>
    <w:link w:val="Allmrkusetekst"/>
    <w:uiPriority w:val="99"/>
    <w:semiHidden/>
    <w:rsid w:val="00697CAB"/>
    <w:rPr>
      <w:rFonts w:ascii="Times New Roman" w:eastAsia="Times New Roman" w:hAnsi="Times New Roman" w:cs="Times New Roman"/>
      <w:color w:val="000000"/>
      <w:kern w:val="0"/>
      <w:sz w:val="20"/>
      <w:szCs w:val="20"/>
      <w:lang w:val="en-US" w:bidi="en-US"/>
    </w:rPr>
  </w:style>
  <w:style w:type="character" w:styleId="Allmrkuseviide">
    <w:name w:val="footnote reference"/>
    <w:basedOn w:val="Liguvaikefont"/>
    <w:uiPriority w:val="99"/>
    <w:semiHidden/>
    <w:unhideWhenUsed/>
    <w:rsid w:val="00697CAB"/>
    <w:rPr>
      <w:vertAlign w:val="superscript"/>
    </w:rPr>
  </w:style>
  <w:style w:type="character" w:styleId="Hperlink">
    <w:name w:val="Hyperlink"/>
    <w:basedOn w:val="Liguvaikefont"/>
    <w:uiPriority w:val="99"/>
    <w:unhideWhenUsed/>
    <w:rsid w:val="00697CAB"/>
    <w:rPr>
      <w:color w:val="467886" w:themeColor="hyperlink"/>
      <w:u w:val="single"/>
    </w:rPr>
  </w:style>
  <w:style w:type="character" w:customStyle="1" w:styleId="Heading11">
    <w:name w:val="Heading #1|1_"/>
    <w:basedOn w:val="Liguvaikefont"/>
    <w:link w:val="Heading110"/>
    <w:rsid w:val="00697CAB"/>
    <w:rPr>
      <w:rFonts w:ascii="Calibri" w:eastAsia="Calibri" w:hAnsi="Calibri" w:cs="Calibri"/>
      <w:b/>
      <w:bCs/>
      <w:i/>
      <w:iCs/>
      <w:shd w:val="clear" w:color="auto" w:fill="FFFFFF"/>
    </w:rPr>
  </w:style>
  <w:style w:type="character" w:customStyle="1" w:styleId="Bodytext3">
    <w:name w:val="Body text|3_"/>
    <w:basedOn w:val="Liguvaikefont"/>
    <w:link w:val="Bodytext30"/>
    <w:rsid w:val="00697CAB"/>
    <w:rPr>
      <w:rFonts w:ascii="Calibri" w:eastAsia="Calibri" w:hAnsi="Calibri" w:cs="Calibri"/>
      <w:i/>
      <w:iCs/>
      <w:shd w:val="clear" w:color="auto" w:fill="FFFFFF"/>
    </w:rPr>
  </w:style>
  <w:style w:type="paragraph" w:customStyle="1" w:styleId="Heading110">
    <w:name w:val="Heading #1|1"/>
    <w:basedOn w:val="Normaallaad"/>
    <w:link w:val="Heading11"/>
    <w:qFormat/>
    <w:rsid w:val="00697CAB"/>
    <w:pPr>
      <w:widowControl w:val="0"/>
      <w:shd w:val="clear" w:color="auto" w:fill="FFFFFF"/>
      <w:spacing w:before="260" w:after="260" w:line="268" w:lineRule="exact"/>
      <w:jc w:val="both"/>
      <w:outlineLvl w:val="0"/>
    </w:pPr>
    <w:rPr>
      <w:rFonts w:ascii="Calibri" w:eastAsia="Calibri" w:hAnsi="Calibri" w:cs="Calibri"/>
      <w:b/>
      <w:bCs/>
      <w:i/>
      <w:iCs/>
    </w:rPr>
  </w:style>
  <w:style w:type="paragraph" w:customStyle="1" w:styleId="Bodytext30">
    <w:name w:val="Body text|3"/>
    <w:basedOn w:val="Normaallaad"/>
    <w:link w:val="Bodytext3"/>
    <w:rsid w:val="00697CAB"/>
    <w:pPr>
      <w:widowControl w:val="0"/>
      <w:shd w:val="clear" w:color="auto" w:fill="FFFFFF"/>
      <w:spacing w:before="260" w:after="120" w:line="268" w:lineRule="exact"/>
      <w:ind w:hanging="360"/>
    </w:pPr>
    <w:rPr>
      <w:rFonts w:ascii="Calibri" w:eastAsia="Calibri" w:hAnsi="Calibri" w:cs="Calibri"/>
      <w:i/>
      <w:iCs/>
    </w:rPr>
  </w:style>
  <w:style w:type="paragraph" w:styleId="Pis">
    <w:name w:val="header"/>
    <w:basedOn w:val="Normaallaad"/>
    <w:link w:val="PisMrk"/>
    <w:uiPriority w:val="99"/>
    <w:unhideWhenUsed/>
    <w:rsid w:val="00A025D5"/>
    <w:pPr>
      <w:tabs>
        <w:tab w:val="center" w:pos="4513"/>
        <w:tab w:val="right" w:pos="9026"/>
      </w:tabs>
      <w:spacing w:after="0" w:line="240" w:lineRule="auto"/>
    </w:pPr>
  </w:style>
  <w:style w:type="character" w:customStyle="1" w:styleId="PisMrk">
    <w:name w:val="Päis Märk"/>
    <w:basedOn w:val="Liguvaikefont"/>
    <w:link w:val="Pis"/>
    <w:uiPriority w:val="99"/>
    <w:rsid w:val="00A025D5"/>
  </w:style>
  <w:style w:type="paragraph" w:styleId="Jalus">
    <w:name w:val="footer"/>
    <w:basedOn w:val="Normaallaad"/>
    <w:link w:val="JalusMrk"/>
    <w:uiPriority w:val="99"/>
    <w:unhideWhenUsed/>
    <w:rsid w:val="00A025D5"/>
    <w:pPr>
      <w:tabs>
        <w:tab w:val="center" w:pos="4513"/>
        <w:tab w:val="right" w:pos="9026"/>
      </w:tabs>
      <w:spacing w:after="0" w:line="240" w:lineRule="auto"/>
    </w:pPr>
  </w:style>
  <w:style w:type="character" w:customStyle="1" w:styleId="JalusMrk">
    <w:name w:val="Jalus Märk"/>
    <w:basedOn w:val="Liguvaikefont"/>
    <w:link w:val="Jalus"/>
    <w:uiPriority w:val="99"/>
    <w:rsid w:val="00A025D5"/>
  </w:style>
  <w:style w:type="paragraph" w:styleId="Redaktsioon">
    <w:name w:val="Revision"/>
    <w:hidden/>
    <w:uiPriority w:val="99"/>
    <w:semiHidden/>
    <w:rsid w:val="00C70A01"/>
    <w:pPr>
      <w:spacing w:after="0" w:line="240" w:lineRule="auto"/>
    </w:pPr>
  </w:style>
  <w:style w:type="character" w:styleId="Kommentaariviide">
    <w:name w:val="annotation reference"/>
    <w:basedOn w:val="Liguvaikefont"/>
    <w:uiPriority w:val="99"/>
    <w:semiHidden/>
    <w:unhideWhenUsed/>
    <w:rsid w:val="00BA004C"/>
    <w:rPr>
      <w:sz w:val="16"/>
      <w:szCs w:val="16"/>
    </w:rPr>
  </w:style>
  <w:style w:type="paragraph" w:styleId="Kommentaaritekst">
    <w:name w:val="annotation text"/>
    <w:basedOn w:val="Normaallaad"/>
    <w:link w:val="KommentaaritekstMrk"/>
    <w:uiPriority w:val="99"/>
    <w:unhideWhenUsed/>
    <w:rsid w:val="00BA004C"/>
    <w:pPr>
      <w:spacing w:line="240" w:lineRule="auto"/>
    </w:pPr>
    <w:rPr>
      <w:sz w:val="20"/>
      <w:szCs w:val="20"/>
    </w:rPr>
  </w:style>
  <w:style w:type="character" w:customStyle="1" w:styleId="KommentaaritekstMrk">
    <w:name w:val="Kommentaari tekst Märk"/>
    <w:basedOn w:val="Liguvaikefont"/>
    <w:link w:val="Kommentaaritekst"/>
    <w:uiPriority w:val="99"/>
    <w:rsid w:val="00BA004C"/>
    <w:rPr>
      <w:sz w:val="20"/>
      <w:szCs w:val="20"/>
    </w:rPr>
  </w:style>
  <w:style w:type="paragraph" w:styleId="Kommentaariteema">
    <w:name w:val="annotation subject"/>
    <w:basedOn w:val="Kommentaaritekst"/>
    <w:next w:val="Kommentaaritekst"/>
    <w:link w:val="KommentaariteemaMrk"/>
    <w:uiPriority w:val="99"/>
    <w:semiHidden/>
    <w:unhideWhenUsed/>
    <w:rsid w:val="00BA004C"/>
    <w:rPr>
      <w:b/>
      <w:bCs/>
    </w:rPr>
  </w:style>
  <w:style w:type="character" w:customStyle="1" w:styleId="KommentaariteemaMrk">
    <w:name w:val="Kommentaari teema Märk"/>
    <w:basedOn w:val="KommentaaritekstMrk"/>
    <w:link w:val="Kommentaariteema"/>
    <w:uiPriority w:val="99"/>
    <w:semiHidden/>
    <w:rsid w:val="00BA00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a.europa.eu/en/Pages/SupremeAuditInstitu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B719D-21D8-46AA-8095-29BEEA73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2166</Words>
  <Characters>12569</Characters>
  <Application>Microsoft Office Word</Application>
  <DocSecurity>0</DocSecurity>
  <Lines>104</Lines>
  <Paragraphs>29</Paragraphs>
  <ScaleCrop>false</ScaleCrop>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2025-12-08T09:25:00Z</dcterms:created>
  <dcterms:modified xsi:type="dcterms:W3CDTF">2025-12-08T09:25:00Z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2025-12-04T10:56:45Z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b4f5611d-92b0-48f4-b4ec-de12792c2c4e</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SIP_Label_defa4170-0d19-0005-0004-bc88714345d2_Enabled">
    <vt:lpwstr>true</vt:lpwstr>
  </property>
  <property fmtid="{D5CDD505-2E9C-101B-9397-08002B2CF9AE}" pid="11" name="MSIP_Label_defa4170-0d19-0005-0004-bc88714345d2_SetDate">
    <vt:lpwstr>2025-12-08T08:04:45Z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8fe098d2-428d-4bd4-9803-7195fe96f0e2</vt:lpwstr>
  </property>
  <property fmtid="{D5CDD505-2E9C-101B-9397-08002B2CF9AE}" pid="15" name="MSIP_Label_defa4170-0d19-0005-0004-bc88714345d2_ActionId">
    <vt:lpwstr>5eb15e93-2b8c-45f3-a875-49edf3774a30</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